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54" w:rsidRPr="005B1BD9" w:rsidRDefault="00B07554" w:rsidP="00B07554">
      <w:pPr>
        <w:tabs>
          <w:tab w:val="left" w:pos="1953"/>
        </w:tabs>
        <w:spacing w:before="120" w:after="120"/>
        <w:jc w:val="right"/>
        <w:rPr>
          <w:rFonts w:cs="Calibri"/>
        </w:rPr>
      </w:pPr>
      <w:r>
        <w:rPr>
          <w:rFonts w:cs="Calibri"/>
          <w:sz w:val="20"/>
          <w:szCs w:val="20"/>
        </w:rPr>
        <w:t>Wrocław</w:t>
      </w:r>
      <w:r w:rsidRPr="005B1BD9">
        <w:rPr>
          <w:rFonts w:cs="Calibri"/>
          <w:sz w:val="20"/>
          <w:szCs w:val="20"/>
        </w:rPr>
        <w:t xml:space="preserve">, dn. </w:t>
      </w:r>
      <w:r w:rsidR="00C666E4">
        <w:rPr>
          <w:rFonts w:cs="Calibri"/>
          <w:sz w:val="20"/>
          <w:szCs w:val="20"/>
        </w:rPr>
        <w:t>20</w:t>
      </w:r>
      <w:r w:rsidRPr="005B1BD9">
        <w:rPr>
          <w:rFonts w:cs="Calibri"/>
          <w:sz w:val="20"/>
          <w:szCs w:val="20"/>
        </w:rPr>
        <w:t>.0</w:t>
      </w:r>
      <w:r>
        <w:rPr>
          <w:rFonts w:cs="Calibri"/>
          <w:sz w:val="20"/>
          <w:szCs w:val="20"/>
        </w:rPr>
        <w:t>6</w:t>
      </w:r>
      <w:r w:rsidRPr="005B1BD9">
        <w:rPr>
          <w:rFonts w:cs="Calibri"/>
          <w:sz w:val="20"/>
          <w:szCs w:val="20"/>
        </w:rPr>
        <w:t>.201</w:t>
      </w:r>
      <w:r>
        <w:rPr>
          <w:rFonts w:cs="Calibri"/>
          <w:sz w:val="20"/>
          <w:szCs w:val="20"/>
        </w:rPr>
        <w:t>9r.</w:t>
      </w:r>
    </w:p>
    <w:p w:rsidR="00B07554" w:rsidRPr="005B1BD9" w:rsidRDefault="00B07554" w:rsidP="00B07554">
      <w:pPr>
        <w:spacing w:after="0"/>
        <w:rPr>
          <w:rFonts w:cs="Calibri"/>
          <w:vanish/>
        </w:rPr>
      </w:pPr>
    </w:p>
    <w:p w:rsidR="00B07554" w:rsidRPr="0020043B" w:rsidRDefault="00B07554" w:rsidP="00B07554">
      <w:pPr>
        <w:spacing w:after="0" w:line="240" w:lineRule="auto"/>
        <w:rPr>
          <w:sz w:val="2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5"/>
        <w:gridCol w:w="4865"/>
      </w:tblGrid>
      <w:tr w:rsidR="00C666E4" w:rsidRPr="005B1BD9" w:rsidTr="005533A1">
        <w:tc>
          <w:tcPr>
            <w:tcW w:w="4955" w:type="dxa"/>
            <w:shd w:val="clear" w:color="auto" w:fill="auto"/>
          </w:tcPr>
          <w:p w:rsidR="00C666E4" w:rsidRPr="005B1BD9" w:rsidRDefault="00C666E4" w:rsidP="005533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9" w:type="dxa"/>
            <w:shd w:val="clear" w:color="auto" w:fill="auto"/>
          </w:tcPr>
          <w:p w:rsidR="00C666E4" w:rsidRPr="00D633CE" w:rsidRDefault="00C666E4" w:rsidP="005533A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Zarząd Geodezji, Kartografii</w:t>
            </w:r>
            <w:r>
              <w:rPr>
                <w:rFonts w:cs="Calibri"/>
                <w:b/>
                <w:bCs/>
                <w:sz w:val="20"/>
              </w:rPr>
              <w:br/>
              <w:t>i Katastru Miejskiego we Wrocławiu</w:t>
            </w:r>
            <w:r w:rsidRPr="005B1BD9">
              <w:rPr>
                <w:rFonts w:cs="Calibri"/>
                <w:b/>
                <w:bCs/>
                <w:sz w:val="20"/>
              </w:rPr>
              <w:br/>
            </w:r>
            <w:r>
              <w:rPr>
                <w:rFonts w:cs="Calibri"/>
                <w:b/>
                <w:bCs/>
                <w:sz w:val="20"/>
              </w:rPr>
              <w:t xml:space="preserve"> </w:t>
            </w:r>
          </w:p>
          <w:p w:rsidR="00C666E4" w:rsidRPr="005B1BD9" w:rsidRDefault="00C666E4" w:rsidP="005533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</w:rPr>
              <w:t xml:space="preserve"> </w:t>
            </w:r>
          </w:p>
        </w:tc>
      </w:tr>
    </w:tbl>
    <w:p w:rsidR="00C666E4" w:rsidRPr="005B1BD9" w:rsidRDefault="00C666E4" w:rsidP="00C666E4">
      <w:pPr>
        <w:spacing w:after="0"/>
        <w:rPr>
          <w:rFonts w:cs="Calibri"/>
          <w:vanish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530"/>
      </w:tblGrid>
      <w:tr w:rsidR="00C666E4" w:rsidRPr="005B1BD9" w:rsidTr="005533A1">
        <w:trPr>
          <w:trHeight w:val="1183"/>
        </w:trPr>
        <w:tc>
          <w:tcPr>
            <w:tcW w:w="10064" w:type="dxa"/>
            <w:shd w:val="clear" w:color="auto" w:fill="auto"/>
          </w:tcPr>
          <w:p w:rsidR="00C666E4" w:rsidRDefault="00C666E4" w:rsidP="005533A1">
            <w:pPr>
              <w:pStyle w:val="NormalnyWeb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B1BD9">
              <w:rPr>
                <w:rFonts w:ascii="Calibri" w:hAnsi="Calibri" w:cs="Calibri"/>
                <w:sz w:val="18"/>
                <w:szCs w:val="18"/>
              </w:rPr>
              <w:t>ID zgłoszenia: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ZGKIKM.TM.6640.2043.2019</w:t>
            </w:r>
          </w:p>
          <w:p w:rsidR="00C666E4" w:rsidRPr="005B1BD9" w:rsidRDefault="00C666E4" w:rsidP="005533A1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:rsidR="00C666E4" w:rsidRPr="005B1BD9" w:rsidRDefault="00C666E4" w:rsidP="005533A1">
            <w:pPr>
              <w:pStyle w:val="NormalnyWeb"/>
              <w:spacing w:before="120" w:beforeAutospacing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Stanowisko wykonawcy </w:t>
            </w:r>
            <w:proofErr w:type="spellStart"/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ws</w:t>
            </w:r>
            <w:proofErr w:type="spellEnd"/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. wyników</w:t>
            </w:r>
            <w:r w:rsidRPr="005B1BD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weryfikacji</w:t>
            </w:r>
            <w:r w:rsidRPr="005B1BD9">
              <w:rPr>
                <w:rFonts w:ascii="Calibri" w:hAnsi="Calibri" w:cs="Calibri"/>
                <w:sz w:val="18"/>
                <w:szCs w:val="18"/>
              </w:rPr>
              <w:t xml:space="preserve"> zawartych</w:t>
            </w:r>
            <w:r w:rsidRPr="005B1BD9">
              <w:rPr>
                <w:rFonts w:ascii="Calibri" w:hAnsi="Calibri" w:cs="Calibri"/>
                <w:sz w:val="18"/>
                <w:szCs w:val="18"/>
              </w:rPr>
              <w:br/>
              <w:t>w protokole weryfik</w:t>
            </w:r>
            <w:bookmarkStart w:id="0" w:name="_GoBack"/>
            <w:bookmarkEnd w:id="0"/>
            <w:r w:rsidRPr="005B1BD9">
              <w:rPr>
                <w:rFonts w:ascii="Calibri" w:hAnsi="Calibri" w:cs="Calibri"/>
                <w:sz w:val="18"/>
                <w:szCs w:val="18"/>
              </w:rPr>
              <w:t xml:space="preserve">acji zbiorów danych oraz innych materiałów </w:t>
            </w:r>
            <w:r w:rsidRPr="005B1BD9">
              <w:rPr>
                <w:rFonts w:ascii="Calibri" w:hAnsi="Calibri" w:cs="Calibri"/>
                <w:sz w:val="18"/>
                <w:szCs w:val="18"/>
              </w:rPr>
              <w:br/>
              <w:t xml:space="preserve">przekazanych do państwowego zasobu geodezyjnego i kartograficznego z dnia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05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06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.2019 r. </w:t>
            </w:r>
          </w:p>
        </w:tc>
      </w:tr>
    </w:tbl>
    <w:p w:rsidR="00C666E4" w:rsidRPr="0020043B" w:rsidRDefault="00C666E4" w:rsidP="00C666E4">
      <w:pPr>
        <w:spacing w:after="0" w:line="240" w:lineRule="auto"/>
        <w:rPr>
          <w:sz w:val="2"/>
          <w:szCs w:val="20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709"/>
        <w:gridCol w:w="3544"/>
        <w:gridCol w:w="5811"/>
      </w:tblGrid>
      <w:tr w:rsidR="00C666E4" w:rsidRPr="00A60BA0" w:rsidTr="005533A1">
        <w:trPr>
          <w:trHeight w:val="2120"/>
        </w:trPr>
        <w:tc>
          <w:tcPr>
            <w:tcW w:w="10064" w:type="dxa"/>
            <w:gridSpan w:val="3"/>
          </w:tcPr>
          <w:p w:rsidR="00C666E4" w:rsidRDefault="00C666E4" w:rsidP="005533A1">
            <w:pPr>
              <w:tabs>
                <w:tab w:val="left" w:pos="1953"/>
              </w:tabs>
              <w:spacing w:after="120" w:line="240" w:lineRule="auto"/>
              <w:jc w:val="both"/>
              <w:rPr>
                <w:sz w:val="18"/>
                <w:szCs w:val="18"/>
              </w:rPr>
            </w:pPr>
          </w:p>
          <w:p w:rsidR="00C666E4" w:rsidRPr="00F456B7" w:rsidRDefault="00C666E4" w:rsidP="005533A1">
            <w:pPr>
              <w:tabs>
                <w:tab w:val="left" w:pos="1953"/>
              </w:tabs>
              <w:spacing w:after="120" w:line="240" w:lineRule="auto"/>
              <w:jc w:val="both"/>
              <w:rPr>
                <w:sz w:val="18"/>
                <w:szCs w:val="18"/>
              </w:rPr>
            </w:pPr>
            <w:r w:rsidRPr="00F456B7">
              <w:rPr>
                <w:sz w:val="18"/>
                <w:szCs w:val="18"/>
              </w:rPr>
              <w:t>Podstawa prawna:</w:t>
            </w:r>
          </w:p>
          <w:p w:rsidR="00C666E4" w:rsidRPr="00F456B7" w:rsidRDefault="00C666E4" w:rsidP="00C666E4">
            <w:pPr>
              <w:numPr>
                <w:ilvl w:val="0"/>
                <w:numId w:val="10"/>
              </w:numPr>
              <w:spacing w:after="0" w:line="336" w:lineRule="auto"/>
              <w:ind w:left="311" w:hanging="215"/>
              <w:jc w:val="both"/>
              <w:rPr>
                <w:sz w:val="18"/>
                <w:szCs w:val="18"/>
              </w:rPr>
            </w:pPr>
            <w:r w:rsidRPr="00F456B7">
              <w:rPr>
                <w:sz w:val="18"/>
                <w:szCs w:val="18"/>
              </w:rPr>
              <w:t xml:space="preserve">Rozporządzenia </w:t>
            </w:r>
            <w:r>
              <w:rPr>
                <w:sz w:val="18"/>
                <w:szCs w:val="18"/>
              </w:rPr>
              <w:t>MSWiA</w:t>
            </w:r>
            <w:r w:rsidRPr="00F456B7">
              <w:rPr>
                <w:sz w:val="18"/>
                <w:szCs w:val="18"/>
              </w:rPr>
              <w:t xml:space="preserve"> z dnia 9 listopada 2011r. w sprawie standardów technicznych wykonywania geodezyjnych pomiarów sytuacyjnych i wysokościowych oraz opracowywania i przekazywania wyników tych pomiarów do państwowego zasobu geodezyjnego i kartograficznego  (dalej</w:t>
            </w:r>
            <w:r w:rsidRPr="00F456B7">
              <w:rPr>
                <w:b/>
                <w:sz w:val="18"/>
                <w:szCs w:val="18"/>
              </w:rPr>
              <w:t xml:space="preserve"> Rozporządzenie w sprawie standardów</w:t>
            </w:r>
            <w:r w:rsidRPr="00F456B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:rsidR="00C666E4" w:rsidRPr="00D15E6F" w:rsidRDefault="00C666E4" w:rsidP="00C666E4">
            <w:pPr>
              <w:numPr>
                <w:ilvl w:val="0"/>
                <w:numId w:val="10"/>
              </w:numPr>
              <w:spacing w:after="0" w:line="336" w:lineRule="auto"/>
              <w:ind w:left="311" w:hanging="215"/>
              <w:jc w:val="both"/>
              <w:rPr>
                <w:sz w:val="18"/>
                <w:szCs w:val="18"/>
              </w:rPr>
            </w:pPr>
            <w:r w:rsidRPr="00F456B7">
              <w:rPr>
                <w:sz w:val="18"/>
                <w:szCs w:val="18"/>
              </w:rPr>
              <w:t xml:space="preserve">Ustawa  z dnia 17 maja 1989 r. –  Prawo geodezyjne i kartograficzne  / Dz. U. z 2015r. poz. 520 / (dalej </w:t>
            </w:r>
            <w:r w:rsidRPr="00F456B7">
              <w:rPr>
                <w:b/>
                <w:sz w:val="18"/>
                <w:szCs w:val="18"/>
              </w:rPr>
              <w:t xml:space="preserve">Ustawa </w:t>
            </w:r>
            <w:proofErr w:type="spellStart"/>
            <w:r w:rsidRPr="00F456B7">
              <w:rPr>
                <w:b/>
                <w:sz w:val="18"/>
                <w:szCs w:val="18"/>
              </w:rPr>
              <w:t>GiK</w:t>
            </w:r>
            <w:proofErr w:type="spellEnd"/>
            <w:r w:rsidRPr="00F456B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:rsidR="00C666E4" w:rsidRDefault="00C666E4" w:rsidP="005533A1">
            <w:pPr>
              <w:pStyle w:val="NormalnyWeb"/>
              <w:spacing w:before="0" w:beforeAutospacing="0" w:after="0"/>
              <w:ind w:firstLine="709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C666E4" w:rsidRDefault="00C666E4" w:rsidP="005533A1">
            <w:pPr>
              <w:pStyle w:val="NormalnyWeb"/>
              <w:spacing w:before="0" w:beforeAutospacing="0" w:after="0" w:line="360" w:lineRule="auto"/>
              <w:ind w:firstLine="459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Ze względu na to, że w wyniku ponownej analizy materiałów pozyskanych z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PZGiK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, wykonawca zwrócił uwagę na zamieszczony na mapie przewód gazociągowy, którego najprawdopodobniej brak jest w terenie, w przygotowanej przez wykonawcę dokumentacji zajdzie jeszcze zmiana. Obecnie wykonawca czeka na potwierdzenie ww. zmiany przez odpowiedniego zarządcę gazociągu. W związku z tym do niniejszego pisma nie został załączony poprawiony operat, natomiast pismo to przesłane zostaje w celu zachowania 14 dniowego terminu zgodnie z art. 12b ust. 7 Ustawy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GiK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:rsidR="00C666E4" w:rsidRPr="00F456B7" w:rsidRDefault="00C666E4" w:rsidP="005533A1">
            <w:pPr>
              <w:pStyle w:val="NormalnyWeb"/>
              <w:spacing w:before="0" w:beforeAutospacing="0" w:after="0" w:line="360" w:lineRule="auto"/>
              <w:ind w:firstLine="459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W odpowiedzi na protokół weryfikacji, stwierdzam co następuje:</w:t>
            </w:r>
          </w:p>
        </w:tc>
      </w:tr>
      <w:tr w:rsidR="00C666E4" w:rsidRPr="00A60BA0" w:rsidTr="005533A1">
        <w:trPr>
          <w:trHeight w:val="386"/>
        </w:trPr>
        <w:tc>
          <w:tcPr>
            <w:tcW w:w="709" w:type="dxa"/>
          </w:tcPr>
          <w:p w:rsidR="00C666E4" w:rsidRPr="00F456B7" w:rsidRDefault="00C666E4" w:rsidP="005533A1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Ad. 5.1.</w:t>
            </w:r>
          </w:p>
        </w:tc>
        <w:tc>
          <w:tcPr>
            <w:tcW w:w="9355" w:type="dxa"/>
            <w:gridSpan w:val="2"/>
          </w:tcPr>
          <w:p w:rsidR="00C666E4" w:rsidRPr="00C661B3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Nieprawidłowość poprawiono.</w:t>
            </w:r>
          </w:p>
        </w:tc>
      </w:tr>
      <w:tr w:rsidR="00C666E4" w:rsidRPr="00A60BA0" w:rsidTr="005533A1">
        <w:trPr>
          <w:trHeight w:val="546"/>
        </w:trPr>
        <w:tc>
          <w:tcPr>
            <w:tcW w:w="709" w:type="dxa"/>
          </w:tcPr>
          <w:p w:rsidR="00C666E4" w:rsidRPr="00F456B7" w:rsidRDefault="00C666E4" w:rsidP="005533A1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Ad. 5.2.</w:t>
            </w:r>
          </w:p>
        </w:tc>
        <w:tc>
          <w:tcPr>
            <w:tcW w:w="9355" w:type="dxa"/>
            <w:gridSpan w:val="2"/>
          </w:tcPr>
          <w:p w:rsidR="00C666E4" w:rsidRPr="00D633CE" w:rsidRDefault="00C666E4" w:rsidP="005533A1">
            <w:pPr>
              <w:tabs>
                <w:tab w:val="left" w:pos="2206"/>
              </w:tabs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Nieprawidłowość bezzasadna. </w:t>
            </w:r>
            <w:r w:rsidRPr="00941C35">
              <w:rPr>
                <w:sz w:val="18"/>
                <w:szCs w:val="18"/>
              </w:rPr>
              <w:t>Ustawodawca umieszczając w punkcie 8) ustępu 2 ww. paragrafu 71 Rozporządzenia w sprawie standardów informację o treści „inne dokumenty…” przed pozycją w punkcie 9), wyraźnie wskazuje, iż nie traktuje „spisu dokumentów operatu technicznego” jako kolejnego dokumentu, lecz jako porządkowe zestawienie tych dokumentów, zgodnie zresztą z ogólnie przyjętymi zasadami redakcji zbiorów tekstów i dokumentów (książki, czasopisma, podręczniki, instrukcje, umowy, wnioski itd.), nauczanymi od dekad na lekcji bibliotecznej w szkole podstawowej. Traktowanie „spisu dokumentów operatu technicznego” jako dokumentu pomimo wyraźnego oddzielenia przez Ustawodawcę punktem 8) dokumentów od „nie dokumentów” wchodzących łącznie w skład operatu technicznego wskazywać może na głęboki brak zrozumienia myśli oraz intencji Ustawodawcy lub na elementarne braki w umiejętności czytania ze zrozumieniem. Zamieszczanie odwołania w spisie treści (czy spisie  dokumentów) do samego siebie pozbawione jest zresztą zarówno logiki jak i celowości. Nieumieszczenie pozycji spisu dokumentów operatu technicznego w spisie dokumentów operatu technicznego nie oznacza, że takiego zestawienia on nie zawiera i biorąc pod uwagę wszystkie powyższe przesłanki nie może być podstawą do odmowy przyjęcia operatu technicznego do zasobu.</w:t>
            </w:r>
          </w:p>
        </w:tc>
      </w:tr>
      <w:tr w:rsidR="00C666E4" w:rsidRPr="00A60BA0" w:rsidTr="005533A1">
        <w:trPr>
          <w:trHeight w:val="580"/>
        </w:trPr>
        <w:tc>
          <w:tcPr>
            <w:tcW w:w="709" w:type="dxa"/>
          </w:tcPr>
          <w:p w:rsidR="00C666E4" w:rsidRPr="00F456B7" w:rsidRDefault="00C666E4" w:rsidP="005533A1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Ad. 5.3.</w:t>
            </w:r>
          </w:p>
        </w:tc>
        <w:tc>
          <w:tcPr>
            <w:tcW w:w="9355" w:type="dxa"/>
            <w:gridSpan w:val="2"/>
          </w:tcPr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>
              <w:rPr>
                <w:i/>
                <w:sz w:val="18"/>
                <w:szCs w:val="18"/>
              </w:rPr>
              <w:t>- brak informacji o adresie obiektu objętego pomiarem</w:t>
            </w:r>
            <w:r>
              <w:rPr>
                <w:sz w:val="18"/>
                <w:szCs w:val="18"/>
              </w:rPr>
              <w:t>”</w:t>
            </w:r>
          </w:p>
          <w:p w:rsidR="00C666E4" w:rsidRDefault="00C666E4" w:rsidP="005533A1">
            <w:pPr>
              <w:tabs>
                <w:tab w:val="left" w:pos="2206"/>
              </w:tabs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Dzienniki pomiarowe uzupełniono o </w:t>
            </w:r>
            <w:r w:rsidRPr="00253868">
              <w:rPr>
                <w:sz w:val="18"/>
                <w:szCs w:val="18"/>
              </w:rPr>
              <w:t>informacj</w:t>
            </w:r>
            <w:r>
              <w:rPr>
                <w:sz w:val="18"/>
                <w:szCs w:val="18"/>
              </w:rPr>
              <w:t>ę</w:t>
            </w:r>
            <w:r w:rsidRPr="00253868">
              <w:rPr>
                <w:sz w:val="18"/>
                <w:szCs w:val="18"/>
              </w:rPr>
              <w:t xml:space="preserve"> o adresie obiektu objętego pomiarem</w:t>
            </w:r>
            <w:r>
              <w:rPr>
                <w:sz w:val="18"/>
                <w:szCs w:val="18"/>
              </w:rPr>
              <w:t>.</w:t>
            </w:r>
          </w:p>
          <w:p w:rsidR="00C666E4" w:rsidRDefault="00C666E4" w:rsidP="005533A1">
            <w:pPr>
              <w:tabs>
                <w:tab w:val="left" w:pos="2206"/>
              </w:tabs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„- </w:t>
            </w:r>
            <w:r>
              <w:rPr>
                <w:i/>
                <w:sz w:val="18"/>
                <w:szCs w:val="18"/>
              </w:rPr>
              <w:t>data pomiaru inna niż na szkicu polowym (ujednolicić)</w:t>
            </w:r>
            <w:r>
              <w:rPr>
                <w:sz w:val="18"/>
                <w:szCs w:val="18"/>
              </w:rPr>
              <w:t>”</w:t>
            </w:r>
          </w:p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Ujednolicono datę pomiaru.</w:t>
            </w:r>
          </w:p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</w:p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</w:p>
          <w:p w:rsidR="00C666E4" w:rsidRPr="00F456B7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</w:p>
        </w:tc>
      </w:tr>
      <w:tr w:rsidR="00C666E4" w:rsidRPr="00A60BA0" w:rsidTr="005533A1">
        <w:trPr>
          <w:trHeight w:val="374"/>
        </w:trPr>
        <w:tc>
          <w:tcPr>
            <w:tcW w:w="709" w:type="dxa"/>
          </w:tcPr>
          <w:p w:rsidR="00C666E4" w:rsidRPr="00F456B7" w:rsidRDefault="00C666E4" w:rsidP="005533A1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Ad. 5.4.</w:t>
            </w:r>
          </w:p>
        </w:tc>
        <w:tc>
          <w:tcPr>
            <w:tcW w:w="9355" w:type="dxa"/>
            <w:gridSpan w:val="2"/>
          </w:tcPr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„- wykreślić wysokości lub uzupełnić o pomiar kontrolny na punktach osnowy (posiadającej wysokości w układzie państwowym przyjętym do zasobu)”</w:t>
            </w:r>
          </w:p>
          <w:p w:rsidR="00C666E4" w:rsidRPr="00BA5171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 w:rsidRPr="00BA5171">
              <w:rPr>
                <w:sz w:val="18"/>
                <w:szCs w:val="18"/>
              </w:rPr>
              <w:t xml:space="preserve">Nieprawidłowość bezzasadna. </w:t>
            </w:r>
            <w:r>
              <w:rPr>
                <w:sz w:val="18"/>
                <w:szCs w:val="18"/>
              </w:rPr>
              <w:t>Wszystkie rzędne pomierzonych szczegółów sytuacyjno-wysokościowych w ramach niniejszej pracy geodezyjnej, które w raz z operatem przekazane zostały do weryfikacji oraz do aktualizacji mapy zasadniczej, określone zostały metodą niwelacji geometrycznej technicznej (patrz sprawozdanie pkt 8., szkic polowy, dziennik niwelacji). Natomiast, żadne rzędne wykazane w dzienniku pomiaru GNSS nie zostały wykorzystane do aktualizacji lub uzupełniania żadnych innych szczegółów sytuacyjno-wysokościowych, dlatego też nie ma potrzeby wykonywania pomiaru kontrolnego GNSS na punktach osnowy wysokościowej. Wykonanie takiego pomiaru kontrolnego pozbawione by było zresztą celowości. Ż</w:t>
            </w:r>
            <w:r w:rsidRPr="00301302">
              <w:rPr>
                <w:sz w:val="18"/>
                <w:szCs w:val="18"/>
              </w:rPr>
              <w:t>aden przepis prawa, a w szczególności te</w:t>
            </w:r>
            <w:r>
              <w:rPr>
                <w:sz w:val="18"/>
                <w:szCs w:val="18"/>
              </w:rPr>
              <w:t>n</w:t>
            </w:r>
            <w:r w:rsidRPr="00301302">
              <w:rPr>
                <w:sz w:val="18"/>
                <w:szCs w:val="18"/>
              </w:rPr>
              <w:t xml:space="preserve"> przytoczon</w:t>
            </w:r>
            <w:r>
              <w:rPr>
                <w:sz w:val="18"/>
                <w:szCs w:val="18"/>
              </w:rPr>
              <w:t>y</w:t>
            </w:r>
            <w:r w:rsidRPr="00301302">
              <w:rPr>
                <w:sz w:val="18"/>
                <w:szCs w:val="18"/>
              </w:rPr>
              <w:t xml:space="preserve"> przez weryfikującego, nie określają iż dziennik pomiarowy nie może zawierać wyników pomiaru </w:t>
            </w:r>
            <w:r>
              <w:rPr>
                <w:sz w:val="18"/>
                <w:szCs w:val="18"/>
              </w:rPr>
              <w:t>rzędnych</w:t>
            </w:r>
            <w:r w:rsidRPr="00301302">
              <w:rPr>
                <w:sz w:val="18"/>
                <w:szCs w:val="18"/>
              </w:rPr>
              <w:t xml:space="preserve">, które nie </w:t>
            </w:r>
            <w:r>
              <w:rPr>
                <w:sz w:val="18"/>
                <w:szCs w:val="18"/>
              </w:rPr>
              <w:t xml:space="preserve">zostały wykorzystane do aktualizacji mapy zasadniczej, a przez to nie zostały skontrolowane pomiarem kontrolnym. W związku z tym brak jest </w:t>
            </w:r>
            <w:r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podstaw do odmowy przyjęcia dokumentacji do zasobu na podstawie przytoczonej przez weryfikującego w tym punkcie nieprawidłowości.</w:t>
            </w:r>
          </w:p>
        </w:tc>
      </w:tr>
      <w:tr w:rsidR="00C666E4" w:rsidRPr="00A60BA0" w:rsidTr="00C666E4">
        <w:trPr>
          <w:trHeight w:val="7019"/>
        </w:trPr>
        <w:tc>
          <w:tcPr>
            <w:tcW w:w="709" w:type="dxa"/>
          </w:tcPr>
          <w:p w:rsidR="00C666E4" w:rsidRPr="00F456B7" w:rsidRDefault="00C666E4" w:rsidP="005533A1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Ad. 5.5.</w:t>
            </w:r>
          </w:p>
        </w:tc>
        <w:tc>
          <w:tcPr>
            <w:tcW w:w="9355" w:type="dxa"/>
            <w:gridSpan w:val="2"/>
          </w:tcPr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„- pozostawić nazwę podmiotu, który wykonał mapę i posiada licencję”</w:t>
            </w:r>
          </w:p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Nieprawidłowość bezzasadna. Na mapie do celów projektowych, przy pozycji „pieczęć firmowa wykonawcy” wykonawca umieścił pieczątkę jednoznacznie określającą wykonawcę przedmiotowej pracy geodezyjnej</w:t>
            </w:r>
            <w:r w:rsidRPr="00D65C11">
              <w:rPr>
                <w:sz w:val="18"/>
                <w:szCs w:val="18"/>
              </w:rPr>
              <w:t>.</w:t>
            </w:r>
          </w:p>
          <w:p w:rsidR="00C666E4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Należy przy tym zaznaczyć, iż w przepisach prawa nie istnieje wzór wg którego powinna być opracowywana mapa do celów projektowych. </w:t>
            </w:r>
            <w:r w:rsidRPr="00147578">
              <w:rPr>
                <w:sz w:val="18"/>
                <w:szCs w:val="18"/>
              </w:rPr>
              <w:t xml:space="preserve">Natomiast par. </w:t>
            </w:r>
            <w:r>
              <w:rPr>
                <w:sz w:val="18"/>
                <w:szCs w:val="18"/>
              </w:rPr>
              <w:t>80</w:t>
            </w:r>
            <w:r w:rsidRPr="00147578">
              <w:rPr>
                <w:sz w:val="18"/>
                <w:szCs w:val="18"/>
              </w:rPr>
              <w:t xml:space="preserve"> Rozporządzenia w prawie standardów nie określa zamkniętego katalogu obiektów będących treścią mapy do celów projektowych</w:t>
            </w:r>
            <w:r>
              <w:rPr>
                <w:sz w:val="18"/>
                <w:szCs w:val="18"/>
              </w:rPr>
              <w:t>, lecz określa jaką minimalną treść dokument ten powinien zawierać. Potwierdzeniem tego jest zapis par. 72 Rozporządzenia w sprawie standardów mówiący, iż „</w:t>
            </w:r>
            <w:r w:rsidRPr="00BE5F19">
              <w:rPr>
                <w:i/>
                <w:sz w:val="18"/>
                <w:szCs w:val="18"/>
              </w:rPr>
              <w:t>Zakres, formę i treść dokumentów przeznaczonych dla zamawiającego określa umowa zawarta między zamawiającym a wykonawcą</w:t>
            </w:r>
            <w:r>
              <w:rPr>
                <w:sz w:val="18"/>
                <w:szCs w:val="18"/>
              </w:rPr>
              <w:t>”. W myśl tego przepisu ustawodawca dał wykonawcy w porozumieniu z zamawiającym możliwość zamieszczania m.in. na mapie do celów projektowych innych elementów oraz informacji poza tymi zawartymi w par. 81 czy 80 Rozporządzenia w sprawie standardów, dopóki nie są one sprzeczne z odrębnymi przepisami prawa.</w:t>
            </w:r>
          </w:p>
          <w:p w:rsidR="00C666E4" w:rsidRPr="00327A10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Natomiast, jeżeli organ weryfikujący prace geodezyjne ma jakiekolwiek podejrzenie, że wykonawca prac geodezyjnych wykorzystuje materiały zasobu bez wymaganej licencji lub niezgodnie </w:t>
            </w:r>
            <w:r w:rsidRPr="00327A10">
              <w:rPr>
                <w:sz w:val="18"/>
                <w:szCs w:val="18"/>
              </w:rPr>
              <w:t>z warunkami licencji lub udostępnia j</w:t>
            </w:r>
            <w:r>
              <w:rPr>
                <w:sz w:val="18"/>
                <w:szCs w:val="18"/>
              </w:rPr>
              <w:t xml:space="preserve">e wbrew postanowieniom licencji </w:t>
            </w:r>
            <w:r w:rsidRPr="00327A10">
              <w:rPr>
                <w:sz w:val="18"/>
                <w:szCs w:val="18"/>
              </w:rPr>
              <w:t>osobom trzecim</w:t>
            </w:r>
            <w:r>
              <w:rPr>
                <w:sz w:val="18"/>
                <w:szCs w:val="18"/>
              </w:rPr>
              <w:t xml:space="preserve">, to w myśl art. 48a ust. 2 Ustawy </w:t>
            </w:r>
            <w:proofErr w:type="spellStart"/>
            <w:r>
              <w:rPr>
                <w:sz w:val="18"/>
                <w:szCs w:val="18"/>
              </w:rPr>
              <w:t>GiK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15E6F">
              <w:rPr>
                <w:b/>
                <w:sz w:val="18"/>
                <w:szCs w:val="18"/>
                <w:u w:val="single"/>
              </w:rPr>
              <w:t xml:space="preserve">ma obowiązek zawiadomić odpowiednie organy </w:t>
            </w:r>
            <w:r w:rsidRPr="00D15E6F">
              <w:rPr>
                <w:sz w:val="18"/>
                <w:szCs w:val="18"/>
                <w:u w:val="single"/>
              </w:rPr>
              <w:t>w celu wszczęcia odpowiedniego postępowania administracyjnego mającego na celu naliczenie odpowiedniej kary w drodze decyzji administracyjnej</w:t>
            </w:r>
            <w:r>
              <w:rPr>
                <w:sz w:val="18"/>
                <w:szCs w:val="18"/>
              </w:rPr>
              <w:t xml:space="preserve">. Niemniej jednak, wydanie takiej decyzji jest odrębnym od weryfikacji wyników prac geodezyjnych postępowaniem i </w:t>
            </w:r>
            <w:r w:rsidRPr="00D15E6F">
              <w:rPr>
                <w:sz w:val="18"/>
                <w:szCs w:val="18"/>
                <w:u w:val="single"/>
              </w:rPr>
              <w:t>nie może wstrzymywać czynności weryfikacji</w:t>
            </w:r>
            <w:r>
              <w:rPr>
                <w:sz w:val="18"/>
                <w:szCs w:val="18"/>
              </w:rPr>
              <w:t xml:space="preserve">. Brak wymaganej licencji na materiały zasobu lub stwierdzenie wykorzystania tych materiałów niezgodnie z warunkami licencji nie oznacza iż wykonane w ramach pracy geodezyjnej pomiary oraz opracowanie wyników tych pomiarów zrealizowane zostały niezgodnie z przepisami prawa (art. 12b ust. 1 pkt 1 Ustawy </w:t>
            </w:r>
            <w:proofErr w:type="spellStart"/>
            <w:r>
              <w:rPr>
                <w:sz w:val="18"/>
                <w:szCs w:val="18"/>
              </w:rPr>
              <w:t>GiK</w:t>
            </w:r>
            <w:proofErr w:type="spellEnd"/>
            <w:r>
              <w:rPr>
                <w:sz w:val="18"/>
                <w:szCs w:val="18"/>
              </w:rPr>
              <w:t xml:space="preserve">), ani że przekazane wyniki wykonanych prac geodezyjnych są niekompletne (art. 12b ust. 1 pkt 2 Ustawy </w:t>
            </w:r>
            <w:proofErr w:type="spellStart"/>
            <w:r>
              <w:rPr>
                <w:sz w:val="18"/>
                <w:szCs w:val="18"/>
              </w:rPr>
              <w:t>GiK</w:t>
            </w:r>
            <w:proofErr w:type="spellEnd"/>
            <w:r>
              <w:rPr>
                <w:sz w:val="18"/>
                <w:szCs w:val="18"/>
              </w:rPr>
              <w:t xml:space="preserve">) ponieważ licencja na materiały nie wchodzi w skład operatu technicznego (par. 71 ust. 2 Rozporządzenia w sprawie standardów). W związku z powyższym podejrzenie braku wymaganej licencji na materiały zasobu lub wykorzystania materiałów zasobu bez wymaganej licencji lub niezgodnie </w:t>
            </w:r>
            <w:r w:rsidRPr="00327A10">
              <w:rPr>
                <w:sz w:val="18"/>
                <w:szCs w:val="18"/>
              </w:rPr>
              <w:t>z warunkami licencji lub udostępnia j</w:t>
            </w:r>
            <w:r>
              <w:rPr>
                <w:sz w:val="18"/>
                <w:szCs w:val="18"/>
              </w:rPr>
              <w:t xml:space="preserve">e wbrew postanowieniom licencji </w:t>
            </w:r>
            <w:r w:rsidRPr="00327A10">
              <w:rPr>
                <w:sz w:val="18"/>
                <w:szCs w:val="18"/>
              </w:rPr>
              <w:t>osobom trzecim</w:t>
            </w:r>
            <w:r>
              <w:rPr>
                <w:sz w:val="18"/>
                <w:szCs w:val="18"/>
              </w:rPr>
              <w:t>, nie może być podstawą do odmowy przyjęcia operatu technicznego do zasobu.</w:t>
            </w:r>
          </w:p>
          <w:p w:rsidR="00C666E4" w:rsidRPr="00F456B7" w:rsidRDefault="00C666E4" w:rsidP="005533A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</w:p>
        </w:tc>
      </w:tr>
      <w:tr w:rsidR="00C666E4" w:rsidRPr="00A60BA0" w:rsidTr="005533A1">
        <w:trPr>
          <w:trHeight w:val="514"/>
        </w:trPr>
        <w:tc>
          <w:tcPr>
            <w:tcW w:w="4253" w:type="dxa"/>
            <w:gridSpan w:val="2"/>
          </w:tcPr>
          <w:p w:rsidR="00C666E4" w:rsidRPr="00783E8D" w:rsidRDefault="00C666E4" w:rsidP="005533A1">
            <w:pPr>
              <w:pStyle w:val="NormalnyWeb"/>
              <w:spacing w:before="0" w:after="0" w:line="360" w:lineRule="auto"/>
              <w:rPr>
                <w:sz w:val="16"/>
              </w:rPr>
            </w:pPr>
          </w:p>
        </w:tc>
        <w:tc>
          <w:tcPr>
            <w:tcW w:w="5811" w:type="dxa"/>
            <w:vAlign w:val="center"/>
          </w:tcPr>
          <w:p w:rsidR="00C666E4" w:rsidRPr="00F456B7" w:rsidRDefault="00C666E4" w:rsidP="005533A1">
            <w:pPr>
              <w:pStyle w:val="NormalnyWeb"/>
              <w:spacing w:after="0" w:line="360" w:lineRule="auto"/>
              <w:ind w:left="51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Z poważaniem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</w:p>
        </w:tc>
      </w:tr>
    </w:tbl>
    <w:p w:rsidR="00B07554" w:rsidRPr="0041613C" w:rsidRDefault="00B07554"/>
    <w:sectPr w:rsidR="00B07554" w:rsidRPr="0041613C" w:rsidSect="00B07554">
      <w:headerReference w:type="default" r:id="rId7"/>
      <w:footerReference w:type="default" r:id="rId8"/>
      <w:pgSz w:w="11906" w:h="16838"/>
      <w:pgMar w:top="-1843" w:right="1417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B9" w:rsidRDefault="008305B9">
      <w:pPr>
        <w:spacing w:after="0" w:line="240" w:lineRule="auto"/>
      </w:pPr>
      <w:r>
        <w:separator/>
      </w:r>
    </w:p>
  </w:endnote>
  <w:endnote w:type="continuationSeparator" w:id="0">
    <w:p w:rsidR="008305B9" w:rsidRDefault="0083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196" w:type="dxa"/>
      <w:tblBorders>
        <w:insideV w:val="single" w:sz="12" w:space="0" w:color="1F497D"/>
      </w:tblBorders>
      <w:tblLook w:val="04A0" w:firstRow="1" w:lastRow="0" w:firstColumn="1" w:lastColumn="0" w:noHBand="0" w:noVBand="1"/>
    </w:tblPr>
    <w:tblGrid>
      <w:gridCol w:w="2376"/>
      <w:gridCol w:w="4820"/>
    </w:tblGrid>
    <w:tr w:rsidR="00B5230E" w:rsidRPr="005E0D4A" w:rsidTr="0068576E">
      <w:trPr>
        <w:trHeight w:val="709"/>
      </w:trPr>
      <w:tc>
        <w:tcPr>
          <w:tcW w:w="2376" w:type="dxa"/>
        </w:tcPr>
        <w:p w:rsidR="00B5230E" w:rsidRPr="005E0D4A" w:rsidRDefault="003B729F" w:rsidP="00FC5CAD">
          <w:pPr>
            <w:pStyle w:val="Stopka"/>
            <w:jc w:val="right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30EFB9C4" wp14:editId="77B65730">
                <wp:simplePos x="0" y="0"/>
                <wp:positionH relativeFrom="column">
                  <wp:posOffset>5791200</wp:posOffset>
                </wp:positionH>
                <wp:positionV relativeFrom="paragraph">
                  <wp:posOffset>179070</wp:posOffset>
                </wp:positionV>
                <wp:extent cx="619125" cy="549275"/>
                <wp:effectExtent l="0" t="0" r="9525" b="3175"/>
                <wp:wrapNone/>
                <wp:docPr id="74" name="Obraz 7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5230E">
            <w:rPr>
              <w:sz w:val="18"/>
              <w:szCs w:val="18"/>
            </w:rPr>
            <w:t>Numer KRS: 0000761654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 xml:space="preserve">NIP: 8842794921 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>REGON: 382009077</w:t>
          </w:r>
        </w:p>
      </w:tc>
      <w:tc>
        <w:tcPr>
          <w:tcW w:w="4820" w:type="dxa"/>
        </w:tcPr>
        <w:p w:rsidR="00B5230E" w:rsidRDefault="003B729F" w:rsidP="007F4510">
          <w:pPr>
            <w:pStyle w:val="Stopka"/>
            <w:rPr>
              <w:sz w:val="18"/>
              <w:szCs w:val="18"/>
            </w:rPr>
          </w:pPr>
          <w:r w:rsidRPr="00B5230E">
            <w:rPr>
              <w:sz w:val="18"/>
              <w:szCs w:val="18"/>
            </w:rPr>
            <w:t>Sąd rejestrowy: Sąd Rejon</w:t>
          </w:r>
          <w:r>
            <w:rPr>
              <w:sz w:val="18"/>
              <w:szCs w:val="18"/>
            </w:rPr>
            <w:t>owy dla Wrocławia – Fabrycznej,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 xml:space="preserve">IX Wydział Gospodarczy KRS </w:t>
          </w:r>
        </w:p>
        <w:p w:rsidR="00ED43BD" w:rsidRPr="005E0D4A" w:rsidRDefault="003B729F" w:rsidP="007F4510">
          <w:pPr>
            <w:pStyle w:val="Stopka"/>
          </w:pPr>
          <w:r>
            <w:rPr>
              <w:sz w:val="18"/>
              <w:szCs w:val="18"/>
            </w:rPr>
            <w:t>Kapitał zakładowy: 5400 zł</w:t>
          </w:r>
        </w:p>
      </w:tc>
    </w:tr>
  </w:tbl>
  <w:p w:rsidR="00627E89" w:rsidRDefault="00830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B9" w:rsidRDefault="008305B9">
      <w:pPr>
        <w:spacing w:after="0" w:line="240" w:lineRule="auto"/>
      </w:pPr>
      <w:r>
        <w:separator/>
      </w:r>
    </w:p>
  </w:footnote>
  <w:footnote w:type="continuationSeparator" w:id="0">
    <w:p w:rsidR="008305B9" w:rsidRDefault="00830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Layout w:type="fixed"/>
      <w:tblLook w:val="04A0" w:firstRow="1" w:lastRow="0" w:firstColumn="1" w:lastColumn="0" w:noHBand="0" w:noVBand="1"/>
    </w:tblPr>
    <w:tblGrid>
      <w:gridCol w:w="3936"/>
      <w:gridCol w:w="4678"/>
      <w:gridCol w:w="1984"/>
    </w:tblGrid>
    <w:tr w:rsidR="000246AC" w:rsidRPr="005E0D4A" w:rsidTr="00FC5CAD">
      <w:trPr>
        <w:trHeight w:val="80"/>
      </w:trPr>
      <w:tc>
        <w:tcPr>
          <w:tcW w:w="3936" w:type="dxa"/>
          <w:vMerge w:val="restart"/>
        </w:tcPr>
        <w:p w:rsidR="000246AC" w:rsidRPr="005E0D4A" w:rsidRDefault="003B729F" w:rsidP="00627E89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AE3938D" wp14:editId="07A06FDA">
                <wp:simplePos x="0" y="0"/>
                <wp:positionH relativeFrom="margin">
                  <wp:posOffset>-1905</wp:posOffset>
                </wp:positionH>
                <wp:positionV relativeFrom="paragraph">
                  <wp:posOffset>133350</wp:posOffset>
                </wp:positionV>
                <wp:extent cx="2277110" cy="496570"/>
                <wp:effectExtent l="0" t="0" r="8890" b="0"/>
                <wp:wrapNone/>
                <wp:docPr id="73" name="Obraz 73" descr="D:\Nextcloud\MARKETING\_Dla Natalii\Ulotka Satlab\Logo_CubicO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Nextcloud\MARKETING\_Dla Natalii\Ulotka Satlab\Logo_CubicO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711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Align w:val="bottom"/>
        </w:tcPr>
        <w:p w:rsidR="000246AC" w:rsidRPr="005E0D4A" w:rsidRDefault="008305B9" w:rsidP="005E0D4A">
          <w:pPr>
            <w:pStyle w:val="Nagwek"/>
            <w:jc w:val="right"/>
            <w:rPr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0246AC" w:rsidRPr="005E0D4A" w:rsidRDefault="008305B9" w:rsidP="00ED3639">
          <w:pPr>
            <w:pStyle w:val="Nagwek"/>
            <w:rPr>
              <w:b/>
              <w:color w:val="00B0F0"/>
              <w:sz w:val="18"/>
              <w:szCs w:val="18"/>
            </w:rPr>
          </w:pPr>
        </w:p>
      </w:tc>
    </w:tr>
    <w:tr w:rsidR="000246AC" w:rsidRPr="005E0D4A" w:rsidTr="00FC5CAD">
      <w:trPr>
        <w:trHeight w:val="80"/>
      </w:trPr>
      <w:tc>
        <w:tcPr>
          <w:tcW w:w="3936" w:type="dxa"/>
          <w:vMerge/>
        </w:tcPr>
        <w:p w:rsidR="000246AC" w:rsidRPr="005E0D4A" w:rsidRDefault="008305B9" w:rsidP="00627E89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  <w:tcBorders>
            <w:bottom w:val="single" w:sz="12" w:space="0" w:color="548DD4"/>
            <w:right w:val="single" w:sz="12" w:space="0" w:color="548DD4"/>
          </w:tcBorders>
          <w:vAlign w:val="bottom"/>
        </w:tcPr>
        <w:p w:rsidR="000246AC" w:rsidRPr="001755A2" w:rsidRDefault="003B729F" w:rsidP="00B5230E">
          <w:pPr>
            <w:pStyle w:val="Nagwek"/>
            <w:jc w:val="right"/>
            <w:rPr>
              <w:rFonts w:cs="Calibri"/>
              <w:b/>
              <w:sz w:val="18"/>
              <w:szCs w:val="18"/>
            </w:rPr>
          </w:pPr>
          <w:proofErr w:type="spellStart"/>
          <w:r w:rsidRPr="001755A2"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>Cubic</w:t>
          </w:r>
          <w:proofErr w:type="spellEnd"/>
          <w:r w:rsidRPr="001755A2"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 xml:space="preserve"> </w:t>
          </w:r>
          <w:proofErr w:type="spellStart"/>
          <w:r w:rsidRPr="001755A2"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>Orb</w:t>
          </w:r>
          <w:proofErr w:type="spellEnd"/>
          <w:r w:rsidRPr="001755A2"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 xml:space="preserve"> sp. z o.o.</w:t>
          </w:r>
          <w:r w:rsidRPr="001755A2"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br/>
          </w:r>
          <w:r w:rsidRPr="001755A2">
            <w:rPr>
              <w:rFonts w:eastAsia="Times New Roman" w:cs="Calibri"/>
              <w:color w:val="222222"/>
              <w:sz w:val="18"/>
              <w:szCs w:val="18"/>
              <w:lang w:eastAsia="pl-PL"/>
            </w:rPr>
            <w:t>(dawniej GEO-Spot Biuro Geodezji Krzysztof Krzeszowski)</w:t>
          </w:r>
        </w:p>
      </w:tc>
      <w:tc>
        <w:tcPr>
          <w:tcW w:w="1984" w:type="dxa"/>
          <w:tcBorders>
            <w:left w:val="single" w:sz="12" w:space="0" w:color="548DD4"/>
            <w:bottom w:val="single" w:sz="12" w:space="0" w:color="548DD4"/>
          </w:tcBorders>
          <w:vAlign w:val="bottom"/>
        </w:tcPr>
        <w:p w:rsidR="000246AC" w:rsidRPr="001755A2" w:rsidRDefault="003B729F" w:rsidP="00ED3639">
          <w:pPr>
            <w:pStyle w:val="Nagwek"/>
            <w:rPr>
              <w:rFonts w:cs="Calibri"/>
              <w:b/>
              <w:sz w:val="18"/>
              <w:szCs w:val="18"/>
            </w:rPr>
          </w:pPr>
          <w:r w:rsidRPr="001755A2">
            <w:rPr>
              <w:rFonts w:cs="Calibri"/>
              <w:b/>
              <w:sz w:val="18"/>
              <w:szCs w:val="18"/>
            </w:rPr>
            <w:t>www.cubicorb.com</w:t>
          </w:r>
        </w:p>
      </w:tc>
    </w:tr>
    <w:tr w:rsidR="000246AC" w:rsidRPr="005E0D4A" w:rsidTr="00FC5CAD">
      <w:trPr>
        <w:trHeight w:val="450"/>
      </w:trPr>
      <w:tc>
        <w:tcPr>
          <w:tcW w:w="3936" w:type="dxa"/>
          <w:vMerge/>
        </w:tcPr>
        <w:p w:rsidR="000246AC" w:rsidRPr="005E0D4A" w:rsidRDefault="008305B9" w:rsidP="00627E89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  <w:tcBorders>
            <w:top w:val="single" w:sz="12" w:space="0" w:color="548DD4"/>
            <w:right w:val="single" w:sz="12" w:space="0" w:color="548DD4"/>
          </w:tcBorders>
        </w:tcPr>
        <w:p w:rsidR="000246AC" w:rsidRPr="001755A2" w:rsidRDefault="003B729F" w:rsidP="005E0D4A">
          <w:pPr>
            <w:pStyle w:val="Nagwek"/>
            <w:jc w:val="right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58-150 Strzegom</w:t>
          </w:r>
        </w:p>
        <w:p w:rsidR="000246AC" w:rsidRPr="001755A2" w:rsidRDefault="003B729F" w:rsidP="005E0D4A">
          <w:pPr>
            <w:pStyle w:val="Nagwek"/>
            <w:jc w:val="right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ul. Św. Jadwigi 7/4</w:t>
          </w:r>
        </w:p>
      </w:tc>
      <w:tc>
        <w:tcPr>
          <w:tcW w:w="1984" w:type="dxa"/>
          <w:tcBorders>
            <w:top w:val="single" w:sz="12" w:space="0" w:color="548DD4"/>
            <w:left w:val="single" w:sz="12" w:space="0" w:color="548DD4"/>
          </w:tcBorders>
        </w:tcPr>
        <w:p w:rsidR="006A09B2" w:rsidRPr="001755A2" w:rsidRDefault="003B729F" w:rsidP="00627E89">
          <w:pPr>
            <w:pStyle w:val="Nagwek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+48 797 729 899</w:t>
          </w:r>
        </w:p>
        <w:p w:rsidR="000246AC" w:rsidRPr="001755A2" w:rsidRDefault="003B729F" w:rsidP="006A09B2">
          <w:pPr>
            <w:pStyle w:val="Nagwek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biuro@cubicorb.com</w:t>
          </w:r>
        </w:p>
      </w:tc>
    </w:tr>
    <w:tr w:rsidR="000246AC" w:rsidRPr="005E0D4A" w:rsidTr="00FC5CAD">
      <w:trPr>
        <w:trHeight w:val="138"/>
      </w:trPr>
      <w:tc>
        <w:tcPr>
          <w:tcW w:w="3936" w:type="dxa"/>
          <w:vMerge/>
        </w:tcPr>
        <w:p w:rsidR="000246AC" w:rsidRPr="005E0D4A" w:rsidRDefault="008305B9" w:rsidP="00627E89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</w:tcPr>
        <w:p w:rsidR="000246AC" w:rsidRPr="005E0D4A" w:rsidRDefault="008305B9" w:rsidP="005E0D4A">
          <w:pPr>
            <w:pStyle w:val="Nagwek"/>
            <w:jc w:val="right"/>
            <w:rPr>
              <w:sz w:val="18"/>
              <w:szCs w:val="18"/>
            </w:rPr>
          </w:pPr>
        </w:p>
      </w:tc>
      <w:tc>
        <w:tcPr>
          <w:tcW w:w="1984" w:type="dxa"/>
        </w:tcPr>
        <w:p w:rsidR="000246AC" w:rsidRPr="005E0D4A" w:rsidRDefault="008305B9" w:rsidP="00627E89">
          <w:pPr>
            <w:pStyle w:val="Nagwek"/>
            <w:rPr>
              <w:sz w:val="18"/>
              <w:szCs w:val="18"/>
            </w:rPr>
          </w:pPr>
        </w:p>
      </w:tc>
    </w:tr>
  </w:tbl>
  <w:p w:rsidR="00627E89" w:rsidRPr="00B07554" w:rsidRDefault="008305B9" w:rsidP="00B07554">
    <w:pPr>
      <w:pStyle w:val="Nagwek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83A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F068F4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34270F"/>
    <w:multiLevelType w:val="hybridMultilevel"/>
    <w:tmpl w:val="404AB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370A1"/>
    <w:multiLevelType w:val="hybridMultilevel"/>
    <w:tmpl w:val="3526635A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27E6587C"/>
    <w:multiLevelType w:val="hybridMultilevel"/>
    <w:tmpl w:val="86A4A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10091"/>
    <w:multiLevelType w:val="hybridMultilevel"/>
    <w:tmpl w:val="617C6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0AC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3E017EC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59411D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AAC5336"/>
    <w:multiLevelType w:val="hybridMultilevel"/>
    <w:tmpl w:val="E9F88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9390A"/>
    <w:multiLevelType w:val="hybridMultilevel"/>
    <w:tmpl w:val="76B22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D34F6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E0F50E5"/>
    <w:multiLevelType w:val="hybridMultilevel"/>
    <w:tmpl w:val="4F18B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F"/>
    <w:rsid w:val="002F082C"/>
    <w:rsid w:val="003B729F"/>
    <w:rsid w:val="0041613C"/>
    <w:rsid w:val="00464983"/>
    <w:rsid w:val="006B3903"/>
    <w:rsid w:val="00794A88"/>
    <w:rsid w:val="008305B9"/>
    <w:rsid w:val="00B07554"/>
    <w:rsid w:val="00B938CA"/>
    <w:rsid w:val="00C65E71"/>
    <w:rsid w:val="00C666E4"/>
    <w:rsid w:val="00E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AEFBEA-A3E4-4693-8BD0-A713361F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2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9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B729F"/>
    <w:pPr>
      <w:spacing w:after="0" w:line="240" w:lineRule="auto"/>
      <w:ind w:left="720"/>
    </w:pPr>
  </w:style>
  <w:style w:type="paragraph" w:styleId="Lista">
    <w:name w:val="List"/>
    <w:basedOn w:val="Normalny"/>
    <w:semiHidden/>
    <w:rsid w:val="003B729F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3B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755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6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piotrgorecki87@gmail.com</dc:creator>
  <cp:keywords/>
  <dc:description/>
  <cp:lastModifiedBy>kszy ksze</cp:lastModifiedBy>
  <cp:revision>5</cp:revision>
  <cp:lastPrinted>2019-06-21T17:09:00Z</cp:lastPrinted>
  <dcterms:created xsi:type="dcterms:W3CDTF">2019-06-04T12:14:00Z</dcterms:created>
  <dcterms:modified xsi:type="dcterms:W3CDTF">2019-06-21T17:09:00Z</dcterms:modified>
</cp:coreProperties>
</file>