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554" w:rsidRPr="005B1BD9" w:rsidRDefault="00B07554" w:rsidP="00087B77">
      <w:pPr>
        <w:tabs>
          <w:tab w:val="left" w:pos="1953"/>
        </w:tabs>
        <w:spacing w:after="120"/>
        <w:jc w:val="right"/>
        <w:rPr>
          <w:rFonts w:cs="Calibri"/>
        </w:rPr>
      </w:pPr>
      <w:r>
        <w:rPr>
          <w:rFonts w:cs="Calibri"/>
          <w:sz w:val="20"/>
          <w:szCs w:val="20"/>
        </w:rPr>
        <w:t>Wrocław</w:t>
      </w:r>
      <w:r w:rsidRPr="005B1BD9">
        <w:rPr>
          <w:rFonts w:cs="Calibri"/>
          <w:sz w:val="20"/>
          <w:szCs w:val="20"/>
        </w:rPr>
        <w:t xml:space="preserve">, dn. </w:t>
      </w:r>
      <w:r w:rsidR="00E62E99">
        <w:rPr>
          <w:rFonts w:cs="Calibri"/>
          <w:sz w:val="20"/>
          <w:szCs w:val="20"/>
        </w:rPr>
        <w:t>20.04.</w:t>
      </w:r>
      <w:r w:rsidRPr="005B1BD9">
        <w:rPr>
          <w:rFonts w:cs="Calibri"/>
          <w:sz w:val="20"/>
          <w:szCs w:val="20"/>
        </w:rPr>
        <w:t>20</w:t>
      </w:r>
      <w:r w:rsidR="00231C79">
        <w:rPr>
          <w:rFonts w:cs="Calibri"/>
          <w:sz w:val="20"/>
          <w:szCs w:val="20"/>
        </w:rPr>
        <w:t>2</w:t>
      </w:r>
      <w:r w:rsidR="00E62E99">
        <w:rPr>
          <w:rFonts w:cs="Calibri"/>
          <w:sz w:val="20"/>
          <w:szCs w:val="20"/>
        </w:rPr>
        <w:t>1</w:t>
      </w:r>
      <w:r>
        <w:rPr>
          <w:rFonts w:cs="Calibri"/>
          <w:sz w:val="20"/>
          <w:szCs w:val="20"/>
        </w:rPr>
        <w:t>r.</w:t>
      </w:r>
    </w:p>
    <w:p w:rsidR="00B07554" w:rsidRPr="005B1BD9" w:rsidRDefault="00B07554" w:rsidP="00B07554">
      <w:pPr>
        <w:spacing w:after="0"/>
        <w:rPr>
          <w:rFonts w:cs="Calibri"/>
          <w:vanish/>
        </w:rPr>
      </w:pPr>
    </w:p>
    <w:p w:rsidR="00B07554" w:rsidRPr="0020043B" w:rsidRDefault="00B07554" w:rsidP="00B07554">
      <w:pPr>
        <w:spacing w:after="0" w:line="240" w:lineRule="auto"/>
        <w:rPr>
          <w:sz w:val="2"/>
          <w:szCs w:val="20"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4729"/>
        <w:gridCol w:w="4943"/>
      </w:tblGrid>
      <w:tr w:rsidR="00C666E4" w:rsidRPr="005B1BD9" w:rsidTr="005533A1">
        <w:tc>
          <w:tcPr>
            <w:tcW w:w="4955" w:type="dxa"/>
            <w:shd w:val="clear" w:color="auto" w:fill="auto"/>
          </w:tcPr>
          <w:p w:rsidR="00C666E4" w:rsidRPr="005B1BD9" w:rsidRDefault="00C666E4" w:rsidP="005533A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5109" w:type="dxa"/>
            <w:shd w:val="clear" w:color="auto" w:fill="auto"/>
          </w:tcPr>
          <w:p w:rsidR="00C666E4" w:rsidRPr="00D633CE" w:rsidRDefault="00E84EC3" w:rsidP="005533A1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</w:rPr>
            </w:pPr>
            <w:r>
              <w:rPr>
                <w:rFonts w:cs="Calibri"/>
                <w:b/>
                <w:bCs/>
                <w:sz w:val="20"/>
              </w:rPr>
              <w:t>Dolnośląski Wojewódzki Inspektor Nadzoru Geodezyjne</w:t>
            </w:r>
            <w:r w:rsidR="00440454">
              <w:rPr>
                <w:rFonts w:cs="Calibri"/>
                <w:b/>
                <w:bCs/>
                <w:sz w:val="20"/>
              </w:rPr>
              <w:t>go</w:t>
            </w:r>
            <w:r>
              <w:rPr>
                <w:rFonts w:cs="Calibri"/>
                <w:b/>
                <w:bCs/>
                <w:sz w:val="20"/>
              </w:rPr>
              <w:t xml:space="preserve"> i Kartograficznego we Wrocławiu</w:t>
            </w:r>
            <w:r w:rsidR="00C666E4" w:rsidRPr="005B1BD9">
              <w:rPr>
                <w:rFonts w:cs="Calibri"/>
                <w:b/>
                <w:bCs/>
                <w:sz w:val="20"/>
              </w:rPr>
              <w:br/>
            </w:r>
            <w:r w:rsidR="00087B77" w:rsidRPr="00087B77">
              <w:rPr>
                <w:rFonts w:cs="Calibri"/>
                <w:bCs/>
                <w:sz w:val="20"/>
              </w:rPr>
              <w:t>pl. Powstańców Warszawy 1, 50-153 Wrocław</w:t>
            </w:r>
            <w:r w:rsidR="00C666E4">
              <w:rPr>
                <w:rFonts w:cs="Calibri"/>
                <w:b/>
                <w:bCs/>
                <w:sz w:val="20"/>
              </w:rPr>
              <w:t xml:space="preserve"> </w:t>
            </w:r>
          </w:p>
          <w:p w:rsidR="00C666E4" w:rsidRPr="005B1BD9" w:rsidRDefault="00C666E4" w:rsidP="005533A1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</w:rPr>
              <w:t xml:space="preserve"> </w:t>
            </w:r>
          </w:p>
        </w:tc>
      </w:tr>
    </w:tbl>
    <w:p w:rsidR="00C666E4" w:rsidRPr="005B1BD9" w:rsidRDefault="00C666E4" w:rsidP="00C666E4">
      <w:pPr>
        <w:spacing w:after="0"/>
        <w:rPr>
          <w:rFonts w:cs="Calibri"/>
          <w:vanish/>
        </w:rPr>
      </w:pPr>
    </w:p>
    <w:tbl>
      <w:tblPr>
        <w:tblW w:w="0" w:type="auto"/>
        <w:tblInd w:w="250" w:type="dxa"/>
        <w:tblLook w:val="04A0" w:firstRow="1" w:lastRow="0" w:firstColumn="1" w:lastColumn="0" w:noHBand="0" w:noVBand="1"/>
      </w:tblPr>
      <w:tblGrid>
        <w:gridCol w:w="9672"/>
      </w:tblGrid>
      <w:tr w:rsidR="00C666E4" w:rsidRPr="005B1BD9" w:rsidTr="005533A1">
        <w:trPr>
          <w:trHeight w:val="1183"/>
        </w:trPr>
        <w:tc>
          <w:tcPr>
            <w:tcW w:w="10064" w:type="dxa"/>
            <w:shd w:val="clear" w:color="auto" w:fill="auto"/>
          </w:tcPr>
          <w:p w:rsidR="00C666E4" w:rsidRPr="00087B77" w:rsidRDefault="00C666E4" w:rsidP="005533A1">
            <w:pPr>
              <w:pStyle w:val="NormalnyWeb"/>
              <w:spacing w:after="0"/>
              <w:rPr>
                <w:rFonts w:ascii="Calibri" w:hAnsi="Calibri" w:cs="Calibri"/>
                <w:b/>
                <w:bCs/>
                <w:sz w:val="20"/>
                <w:szCs w:val="18"/>
              </w:rPr>
            </w:pPr>
            <w:r w:rsidRPr="00087B77">
              <w:rPr>
                <w:rFonts w:ascii="Calibri" w:hAnsi="Calibri" w:cs="Calibri"/>
                <w:sz w:val="20"/>
                <w:szCs w:val="18"/>
              </w:rPr>
              <w:t>ID zgłoszenia:</w:t>
            </w:r>
            <w:r w:rsidRPr="00087B77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 </w:t>
            </w:r>
            <w:r w:rsidR="000232D1" w:rsidRPr="00087B77">
              <w:rPr>
                <w:rFonts w:ascii="Calibri" w:hAnsi="Calibri" w:cs="Calibri"/>
                <w:b/>
                <w:bCs/>
                <w:sz w:val="20"/>
                <w:szCs w:val="18"/>
              </w:rPr>
              <w:t>PODGiK.6640.1103.2019</w:t>
            </w:r>
            <w:r w:rsidR="00E84EC3" w:rsidRPr="00087B77">
              <w:rPr>
                <w:rFonts w:ascii="Calibri" w:hAnsi="Calibri" w:cs="Calibri"/>
                <w:b/>
                <w:bCs/>
                <w:sz w:val="20"/>
                <w:szCs w:val="18"/>
              </w:rPr>
              <w:br/>
            </w:r>
            <w:r w:rsidR="00E84EC3" w:rsidRPr="00087B77">
              <w:rPr>
                <w:rFonts w:ascii="Calibri" w:hAnsi="Calibri" w:cs="Calibri"/>
                <w:sz w:val="20"/>
                <w:szCs w:val="18"/>
              </w:rPr>
              <w:t>Oznaczenie sprawy:</w:t>
            </w:r>
            <w:r w:rsidR="00E84EC3" w:rsidRPr="00087B77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 GK-ONG.7220.58.2020.OŁ</w:t>
            </w:r>
          </w:p>
          <w:p w:rsidR="00C666E4" w:rsidRPr="005B1BD9" w:rsidRDefault="00C666E4" w:rsidP="005533A1">
            <w:pPr>
              <w:pStyle w:val="NormalnyWeb"/>
              <w:spacing w:after="0"/>
              <w:rPr>
                <w:rFonts w:ascii="Calibri" w:hAnsi="Calibri" w:cs="Calibri"/>
                <w:sz w:val="18"/>
                <w:szCs w:val="18"/>
              </w:rPr>
            </w:pPr>
          </w:p>
          <w:p w:rsidR="00C666E4" w:rsidRPr="005B1BD9" w:rsidRDefault="00C666E4" w:rsidP="00E84EC3">
            <w:pPr>
              <w:pStyle w:val="NormalnyWeb"/>
              <w:spacing w:before="120" w:beforeAutospacing="0" w:after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Stanowisko wykonawcy </w:t>
            </w:r>
            <w:proofErr w:type="spellStart"/>
            <w:r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ws</w:t>
            </w:r>
            <w:proofErr w:type="spellEnd"/>
            <w:r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. wyników</w:t>
            </w:r>
            <w:r w:rsidRPr="00EB68B1">
              <w:rPr>
                <w:rFonts w:ascii="Calibri" w:hAnsi="Calibri" w:cs="Calibri"/>
                <w:b/>
                <w:bCs/>
                <w:i/>
                <w:iCs/>
                <w:sz w:val="20"/>
                <w:szCs w:val="18"/>
              </w:rPr>
              <w:t xml:space="preserve"> </w:t>
            </w:r>
            <w:r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weryfikacji</w:t>
            </w:r>
            <w:r w:rsidRPr="00EB68B1">
              <w:rPr>
                <w:rFonts w:ascii="Calibri" w:hAnsi="Calibri" w:cs="Calibri"/>
                <w:sz w:val="20"/>
                <w:szCs w:val="18"/>
              </w:rPr>
              <w:t xml:space="preserve"> zawartych</w:t>
            </w:r>
            <w:r w:rsidRPr="00EB68B1">
              <w:rPr>
                <w:rFonts w:ascii="Calibri" w:hAnsi="Calibri" w:cs="Calibri"/>
                <w:sz w:val="20"/>
                <w:szCs w:val="18"/>
              </w:rPr>
              <w:br/>
              <w:t xml:space="preserve">w protokole weryfikacji zbiorów danych oraz innych materiałów </w:t>
            </w:r>
            <w:r w:rsidRPr="00EB68B1">
              <w:rPr>
                <w:rFonts w:ascii="Calibri" w:hAnsi="Calibri" w:cs="Calibri"/>
                <w:sz w:val="20"/>
                <w:szCs w:val="18"/>
              </w:rPr>
              <w:br/>
              <w:t xml:space="preserve">przekazanych do państwowego zasobu geodezyjnego i kartograficznego z dnia </w:t>
            </w:r>
            <w:r w:rsidR="00E84EC3"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26</w:t>
            </w:r>
            <w:r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.</w:t>
            </w:r>
            <w:r w:rsidR="00045E90"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0</w:t>
            </w:r>
            <w:r w:rsidR="00E84EC3"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2</w:t>
            </w:r>
            <w:r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.20</w:t>
            </w:r>
            <w:r w:rsidR="00045E90"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2</w:t>
            </w:r>
            <w:r w:rsidR="00E84EC3"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>1</w:t>
            </w:r>
            <w:r w:rsidRPr="00EB68B1">
              <w:rPr>
                <w:rFonts w:ascii="Calibri" w:hAnsi="Calibri" w:cs="Calibri"/>
                <w:b/>
                <w:bCs/>
                <w:sz w:val="20"/>
                <w:szCs w:val="18"/>
              </w:rPr>
              <w:t xml:space="preserve"> r. </w:t>
            </w:r>
          </w:p>
        </w:tc>
      </w:tr>
    </w:tbl>
    <w:p w:rsidR="00C666E4" w:rsidRPr="0020043B" w:rsidRDefault="00C666E4" w:rsidP="00C666E4">
      <w:pPr>
        <w:spacing w:after="0" w:line="240" w:lineRule="auto"/>
        <w:rPr>
          <w:sz w:val="2"/>
          <w:szCs w:val="20"/>
        </w:rPr>
      </w:pPr>
    </w:p>
    <w:tbl>
      <w:tblPr>
        <w:tblW w:w="9923" w:type="dxa"/>
        <w:tblInd w:w="-5" w:type="dxa"/>
        <w:tblLook w:val="01E0" w:firstRow="1" w:lastRow="1" w:firstColumn="1" w:lastColumn="1" w:noHBand="0" w:noVBand="0"/>
      </w:tblPr>
      <w:tblGrid>
        <w:gridCol w:w="9923"/>
      </w:tblGrid>
      <w:tr w:rsidR="00C666E4" w:rsidRPr="00A60BA0" w:rsidTr="00EB68B1">
        <w:trPr>
          <w:trHeight w:val="2120"/>
        </w:trPr>
        <w:tc>
          <w:tcPr>
            <w:tcW w:w="9923" w:type="dxa"/>
          </w:tcPr>
          <w:p w:rsidR="00C666E4" w:rsidRPr="00EB68B1" w:rsidRDefault="00C666E4" w:rsidP="005533A1">
            <w:pPr>
              <w:tabs>
                <w:tab w:val="left" w:pos="1953"/>
              </w:tabs>
              <w:spacing w:after="120" w:line="240" w:lineRule="auto"/>
              <w:jc w:val="both"/>
              <w:rPr>
                <w:sz w:val="10"/>
                <w:szCs w:val="18"/>
              </w:rPr>
            </w:pPr>
          </w:p>
          <w:p w:rsidR="00C666E4" w:rsidRPr="000378C1" w:rsidRDefault="00C666E4" w:rsidP="005533A1">
            <w:pPr>
              <w:tabs>
                <w:tab w:val="left" w:pos="1953"/>
              </w:tabs>
              <w:spacing w:after="120" w:line="240" w:lineRule="auto"/>
              <w:jc w:val="both"/>
              <w:rPr>
                <w:sz w:val="20"/>
                <w:szCs w:val="18"/>
              </w:rPr>
            </w:pPr>
            <w:r w:rsidRPr="00EB68B1">
              <w:rPr>
                <w:b/>
                <w:sz w:val="20"/>
                <w:szCs w:val="18"/>
              </w:rPr>
              <w:t>Podstawa prawna</w:t>
            </w:r>
            <w:r w:rsidRPr="000378C1">
              <w:rPr>
                <w:sz w:val="20"/>
                <w:szCs w:val="18"/>
              </w:rPr>
              <w:t>:</w:t>
            </w:r>
          </w:p>
          <w:p w:rsidR="00C666E4" w:rsidRPr="000378C1" w:rsidRDefault="00C666E4" w:rsidP="00C666E4">
            <w:pPr>
              <w:numPr>
                <w:ilvl w:val="0"/>
                <w:numId w:val="10"/>
              </w:numPr>
              <w:spacing w:after="0" w:line="336" w:lineRule="auto"/>
              <w:ind w:left="311" w:hanging="215"/>
              <w:jc w:val="both"/>
              <w:rPr>
                <w:sz w:val="20"/>
                <w:szCs w:val="18"/>
              </w:rPr>
            </w:pPr>
            <w:r w:rsidRPr="000378C1">
              <w:rPr>
                <w:sz w:val="20"/>
                <w:szCs w:val="18"/>
              </w:rPr>
              <w:t xml:space="preserve">Rozporządzenia MSWiA z dnia 9 listopada 2011r. w sprawie standardów technicznych wykonywania geodezyjnych pomiarów sytuacyjnych i wysokościowych oraz opracowywania i przekazywania wyników tych pomiarów </w:t>
            </w:r>
            <w:r w:rsidR="00EB68B1">
              <w:rPr>
                <w:sz w:val="20"/>
                <w:szCs w:val="18"/>
              </w:rPr>
              <w:br/>
            </w:r>
            <w:r w:rsidRPr="000378C1">
              <w:rPr>
                <w:sz w:val="20"/>
                <w:szCs w:val="18"/>
              </w:rPr>
              <w:t>do państwowego zasobu geodezyjnego i kartograficznego</w:t>
            </w:r>
            <w:r w:rsidR="00E00E33" w:rsidRPr="000378C1">
              <w:rPr>
                <w:sz w:val="20"/>
                <w:szCs w:val="18"/>
              </w:rPr>
              <w:t xml:space="preserve"> </w:t>
            </w:r>
            <w:r w:rsidRPr="000378C1">
              <w:rPr>
                <w:sz w:val="20"/>
                <w:szCs w:val="18"/>
              </w:rPr>
              <w:t>(dalej</w:t>
            </w:r>
            <w:r w:rsidRPr="000378C1">
              <w:rPr>
                <w:b/>
                <w:sz w:val="20"/>
                <w:szCs w:val="18"/>
              </w:rPr>
              <w:t xml:space="preserve"> </w:t>
            </w:r>
            <w:r w:rsidR="00E62E99" w:rsidRPr="000378C1">
              <w:rPr>
                <w:sz w:val="20"/>
                <w:szCs w:val="18"/>
              </w:rPr>
              <w:t>również</w:t>
            </w:r>
            <w:r w:rsidR="00E62E99" w:rsidRPr="000378C1">
              <w:rPr>
                <w:b/>
                <w:sz w:val="20"/>
                <w:szCs w:val="18"/>
              </w:rPr>
              <w:t xml:space="preserve"> </w:t>
            </w:r>
            <w:r w:rsidR="00D84E44" w:rsidRPr="000378C1">
              <w:rPr>
                <w:sz w:val="20"/>
                <w:szCs w:val="18"/>
              </w:rPr>
              <w:t>„</w:t>
            </w:r>
            <w:r w:rsidRPr="000378C1">
              <w:rPr>
                <w:b/>
                <w:sz w:val="20"/>
                <w:szCs w:val="18"/>
              </w:rPr>
              <w:t xml:space="preserve">Rozporządzenie </w:t>
            </w:r>
            <w:r w:rsidR="00635440" w:rsidRPr="000378C1">
              <w:rPr>
                <w:b/>
                <w:sz w:val="20"/>
                <w:szCs w:val="18"/>
              </w:rPr>
              <w:t>o</w:t>
            </w:r>
            <w:r w:rsidRPr="000378C1">
              <w:rPr>
                <w:b/>
                <w:sz w:val="20"/>
                <w:szCs w:val="18"/>
              </w:rPr>
              <w:t xml:space="preserve"> standard</w:t>
            </w:r>
            <w:r w:rsidR="00635440" w:rsidRPr="000378C1">
              <w:rPr>
                <w:b/>
                <w:sz w:val="20"/>
                <w:szCs w:val="18"/>
              </w:rPr>
              <w:t>ach</w:t>
            </w:r>
            <w:r w:rsidR="00D84E44" w:rsidRPr="000378C1">
              <w:rPr>
                <w:sz w:val="20"/>
                <w:szCs w:val="18"/>
              </w:rPr>
              <w:t>”</w:t>
            </w:r>
            <w:r w:rsidRPr="000378C1">
              <w:rPr>
                <w:sz w:val="20"/>
                <w:szCs w:val="18"/>
              </w:rPr>
              <w:t>).</w:t>
            </w:r>
          </w:p>
          <w:p w:rsidR="00C666E4" w:rsidRPr="000378C1" w:rsidRDefault="00C666E4" w:rsidP="00045E90">
            <w:pPr>
              <w:numPr>
                <w:ilvl w:val="0"/>
                <w:numId w:val="10"/>
              </w:numPr>
              <w:spacing w:after="0" w:line="336" w:lineRule="auto"/>
              <w:ind w:left="346" w:hanging="283"/>
              <w:jc w:val="both"/>
              <w:rPr>
                <w:sz w:val="20"/>
                <w:szCs w:val="18"/>
              </w:rPr>
            </w:pPr>
            <w:r w:rsidRPr="000378C1">
              <w:rPr>
                <w:sz w:val="20"/>
                <w:szCs w:val="18"/>
              </w:rPr>
              <w:t>Ustawa</w:t>
            </w:r>
            <w:r w:rsidR="00E00E33" w:rsidRPr="000378C1">
              <w:rPr>
                <w:sz w:val="20"/>
                <w:szCs w:val="18"/>
              </w:rPr>
              <w:t xml:space="preserve"> </w:t>
            </w:r>
            <w:r w:rsidRPr="000378C1">
              <w:rPr>
                <w:sz w:val="20"/>
                <w:szCs w:val="18"/>
              </w:rPr>
              <w:t>z dnia 17 maja 1989 r. –</w:t>
            </w:r>
            <w:r w:rsidR="00E00E33" w:rsidRPr="000378C1">
              <w:rPr>
                <w:sz w:val="20"/>
                <w:szCs w:val="18"/>
              </w:rPr>
              <w:t xml:space="preserve"> </w:t>
            </w:r>
            <w:r w:rsidRPr="000378C1">
              <w:rPr>
                <w:sz w:val="20"/>
                <w:szCs w:val="18"/>
              </w:rPr>
              <w:t>Pr</w:t>
            </w:r>
            <w:r w:rsidR="00D84E44" w:rsidRPr="000378C1">
              <w:rPr>
                <w:sz w:val="20"/>
                <w:szCs w:val="18"/>
              </w:rPr>
              <w:t>awo geodezyjne i kartograficzne</w:t>
            </w:r>
            <w:r w:rsidRPr="000378C1">
              <w:rPr>
                <w:sz w:val="20"/>
                <w:szCs w:val="18"/>
              </w:rPr>
              <w:t xml:space="preserve"> </w:t>
            </w:r>
            <w:r w:rsidR="00D84E44" w:rsidRPr="000378C1">
              <w:rPr>
                <w:sz w:val="20"/>
                <w:szCs w:val="18"/>
              </w:rPr>
              <w:t>(</w:t>
            </w:r>
            <w:r w:rsidRPr="000378C1">
              <w:rPr>
                <w:sz w:val="20"/>
                <w:szCs w:val="18"/>
              </w:rPr>
              <w:t>dalej</w:t>
            </w:r>
            <w:r w:rsidR="00E62E99" w:rsidRPr="000378C1">
              <w:rPr>
                <w:sz w:val="20"/>
                <w:szCs w:val="18"/>
              </w:rPr>
              <w:t xml:space="preserve"> również</w:t>
            </w:r>
            <w:r w:rsidRPr="000378C1">
              <w:rPr>
                <w:sz w:val="20"/>
                <w:szCs w:val="18"/>
              </w:rPr>
              <w:t xml:space="preserve"> </w:t>
            </w:r>
            <w:r w:rsidR="00D84E44" w:rsidRPr="000378C1">
              <w:rPr>
                <w:sz w:val="20"/>
                <w:szCs w:val="18"/>
              </w:rPr>
              <w:t>„</w:t>
            </w:r>
            <w:r w:rsidRPr="000378C1">
              <w:rPr>
                <w:b/>
                <w:sz w:val="20"/>
                <w:szCs w:val="18"/>
              </w:rPr>
              <w:t>Ustawa G</w:t>
            </w:r>
            <w:r w:rsidR="00E84EC3" w:rsidRPr="000378C1">
              <w:rPr>
                <w:b/>
                <w:sz w:val="20"/>
                <w:szCs w:val="18"/>
              </w:rPr>
              <w:t>I</w:t>
            </w:r>
            <w:r w:rsidRPr="000378C1">
              <w:rPr>
                <w:b/>
                <w:sz w:val="20"/>
                <w:szCs w:val="18"/>
              </w:rPr>
              <w:t>K</w:t>
            </w:r>
            <w:r w:rsidR="00D84E44" w:rsidRPr="000378C1">
              <w:rPr>
                <w:sz w:val="20"/>
                <w:szCs w:val="18"/>
              </w:rPr>
              <w:t>”</w:t>
            </w:r>
            <w:r w:rsidRPr="000378C1">
              <w:rPr>
                <w:sz w:val="20"/>
                <w:szCs w:val="18"/>
              </w:rPr>
              <w:t>).</w:t>
            </w:r>
          </w:p>
          <w:p w:rsidR="00C666E4" w:rsidRPr="000378C1" w:rsidRDefault="00D84E44" w:rsidP="00E84EC3">
            <w:pPr>
              <w:numPr>
                <w:ilvl w:val="0"/>
                <w:numId w:val="10"/>
              </w:numPr>
              <w:spacing w:after="0" w:line="336" w:lineRule="auto"/>
              <w:ind w:left="346" w:hanging="283"/>
              <w:jc w:val="both"/>
              <w:rPr>
                <w:sz w:val="20"/>
                <w:szCs w:val="18"/>
              </w:rPr>
            </w:pPr>
            <w:r w:rsidRPr="000378C1">
              <w:rPr>
                <w:sz w:val="20"/>
                <w:szCs w:val="18"/>
              </w:rPr>
              <w:t>Ustawa z dnia 14 czerwca 1960 r. Kodeks postępowania administracyjnego (dalej</w:t>
            </w:r>
            <w:r w:rsidR="00E62E99" w:rsidRPr="000378C1">
              <w:rPr>
                <w:sz w:val="20"/>
                <w:szCs w:val="18"/>
              </w:rPr>
              <w:t xml:space="preserve"> również</w:t>
            </w:r>
            <w:r w:rsidRPr="000378C1">
              <w:rPr>
                <w:sz w:val="20"/>
                <w:szCs w:val="18"/>
              </w:rPr>
              <w:t xml:space="preserve"> „</w:t>
            </w:r>
            <w:r w:rsidRPr="000378C1">
              <w:rPr>
                <w:b/>
                <w:sz w:val="20"/>
                <w:szCs w:val="18"/>
              </w:rPr>
              <w:t>k.p.a.</w:t>
            </w:r>
            <w:r w:rsidRPr="000378C1">
              <w:rPr>
                <w:sz w:val="20"/>
                <w:szCs w:val="18"/>
              </w:rPr>
              <w:t>”)</w:t>
            </w:r>
          </w:p>
          <w:p w:rsidR="00241594" w:rsidRPr="00E84EC3" w:rsidRDefault="00241594" w:rsidP="003959B9">
            <w:pPr>
              <w:numPr>
                <w:ilvl w:val="0"/>
                <w:numId w:val="10"/>
              </w:numPr>
              <w:spacing w:after="0" w:line="336" w:lineRule="auto"/>
              <w:ind w:left="346" w:hanging="283"/>
              <w:jc w:val="both"/>
              <w:rPr>
                <w:sz w:val="18"/>
                <w:szCs w:val="18"/>
              </w:rPr>
            </w:pPr>
            <w:r w:rsidRPr="000378C1">
              <w:rPr>
                <w:sz w:val="20"/>
                <w:szCs w:val="18"/>
              </w:rPr>
              <w:t>Rozporządzenie Ministra Administracji i Cyfryzacji z dnia 2 listopada 2015 r. w sprawie baz danych obiektów topograficznych oraz mapy zasadniczej (dalej</w:t>
            </w:r>
            <w:r w:rsidR="00E62E99" w:rsidRPr="000378C1">
              <w:rPr>
                <w:sz w:val="20"/>
                <w:szCs w:val="18"/>
              </w:rPr>
              <w:t xml:space="preserve"> ró</w:t>
            </w:r>
            <w:r w:rsidR="003959B9">
              <w:rPr>
                <w:sz w:val="20"/>
                <w:szCs w:val="18"/>
              </w:rPr>
              <w:t>w</w:t>
            </w:r>
            <w:r w:rsidR="00E62E99" w:rsidRPr="000378C1">
              <w:rPr>
                <w:sz w:val="20"/>
                <w:szCs w:val="18"/>
              </w:rPr>
              <w:t>nież</w:t>
            </w:r>
            <w:r w:rsidRPr="000378C1">
              <w:rPr>
                <w:sz w:val="20"/>
                <w:szCs w:val="18"/>
              </w:rPr>
              <w:t xml:space="preserve"> </w:t>
            </w:r>
            <w:r w:rsidR="00E62E99" w:rsidRPr="000378C1">
              <w:rPr>
                <w:sz w:val="20"/>
                <w:szCs w:val="18"/>
              </w:rPr>
              <w:t>„</w:t>
            </w:r>
            <w:r w:rsidRPr="000378C1">
              <w:rPr>
                <w:b/>
                <w:sz w:val="20"/>
                <w:szCs w:val="18"/>
              </w:rPr>
              <w:t>Rozporządzenie o BDOT</w:t>
            </w:r>
            <w:r w:rsidR="00E62E99" w:rsidRPr="000378C1">
              <w:rPr>
                <w:b/>
                <w:sz w:val="20"/>
                <w:szCs w:val="18"/>
              </w:rPr>
              <w:t>”</w:t>
            </w:r>
            <w:r w:rsidRPr="000378C1">
              <w:rPr>
                <w:sz w:val="20"/>
                <w:szCs w:val="18"/>
              </w:rPr>
              <w:t>)</w:t>
            </w:r>
          </w:p>
        </w:tc>
      </w:tr>
    </w:tbl>
    <w:p w:rsidR="00E84EC3" w:rsidRPr="00E84EC3" w:rsidRDefault="00E84EC3" w:rsidP="00087B77">
      <w:pPr>
        <w:spacing w:before="240"/>
        <w:ind w:firstLine="709"/>
      </w:pPr>
      <w:r w:rsidRPr="00E84EC3">
        <w:rPr>
          <w:rFonts w:cs="Calibri"/>
          <w:bCs/>
        </w:rPr>
        <w:t>W odpowiedzi na protokół weryfikacji, stwierdzam co następuje:</w:t>
      </w:r>
    </w:p>
    <w:p w:rsidR="00E84EC3" w:rsidRPr="00832EEF" w:rsidRDefault="00E84EC3">
      <w:pPr>
        <w:rPr>
          <w:b/>
        </w:rPr>
      </w:pPr>
      <w:r w:rsidRPr="00832EEF">
        <w:rPr>
          <w:b/>
        </w:rPr>
        <w:t>Ad. II.1.</w:t>
      </w:r>
    </w:p>
    <w:p w:rsidR="00E84EC3" w:rsidRDefault="00E84EC3" w:rsidP="00191010">
      <w:pPr>
        <w:ind w:firstLine="709"/>
        <w:jc w:val="both"/>
      </w:pPr>
      <w:r>
        <w:t xml:space="preserve">Przytoczoną nieprawidłowość należy uznać za bezzasadną. </w:t>
      </w:r>
      <w:r w:rsidR="00B92E3B">
        <w:t>Zupełnie niezrozumiał</w:t>
      </w:r>
      <w:r w:rsidR="00440454">
        <w:t xml:space="preserve">y jest tok rozumowania </w:t>
      </w:r>
      <w:r w:rsidR="00440454" w:rsidRPr="00440454">
        <w:t>Dolnośląski</w:t>
      </w:r>
      <w:r w:rsidR="00440454">
        <w:t>ego</w:t>
      </w:r>
      <w:r w:rsidR="00440454" w:rsidRPr="00440454">
        <w:t xml:space="preserve"> Wojewódzki</w:t>
      </w:r>
      <w:r w:rsidR="00440454">
        <w:t>ego</w:t>
      </w:r>
      <w:r w:rsidR="00440454" w:rsidRPr="00440454">
        <w:t xml:space="preserve"> Inspektor</w:t>
      </w:r>
      <w:r w:rsidR="00440454">
        <w:t>a Nadzoru Geodezyjnego</w:t>
      </w:r>
      <w:r w:rsidR="00440454" w:rsidRPr="00440454">
        <w:t xml:space="preserve"> i Kartograficznego</w:t>
      </w:r>
      <w:r w:rsidR="00440454">
        <w:t xml:space="preserve"> (dalej również „DWINGIK”), w wyniku którego stwierdza on, iż wykonawca</w:t>
      </w:r>
      <w:r w:rsidR="00FA260E">
        <w:t xml:space="preserve"> przedmiotowej pracy geodezyjnej (dalej również „wykonawca”)</w:t>
      </w:r>
      <w:r w:rsidR="00440454">
        <w:t xml:space="preserve"> dokonując pomiaru sytuacyjno-wysokościowego techniką kinematyczną RTN</w:t>
      </w:r>
      <w:r w:rsidR="00A4120E">
        <w:t xml:space="preserve"> uzyskał wyniki tych pomiarów „</w:t>
      </w:r>
      <w:r w:rsidR="00A4120E" w:rsidRPr="00A4120E">
        <w:rPr>
          <w:i/>
        </w:rPr>
        <w:t>w nieobowiązującym układzie wysokościowym „</w:t>
      </w:r>
      <w:proofErr w:type="spellStart"/>
      <w:r w:rsidR="00A4120E" w:rsidRPr="00A4120E">
        <w:rPr>
          <w:i/>
        </w:rPr>
        <w:t>Kronsztadt</w:t>
      </w:r>
      <w:proofErr w:type="spellEnd"/>
      <w:r w:rsidR="00A4120E" w:rsidRPr="00A4120E">
        <w:rPr>
          <w:i/>
        </w:rPr>
        <w:t xml:space="preserve"> 60”</w:t>
      </w:r>
      <w:r w:rsidR="00A4120E">
        <w:t>”. Przede wszystkim</w:t>
      </w:r>
      <w:r w:rsidR="00832EEF">
        <w:t>,</w:t>
      </w:r>
      <w:r w:rsidR="00A4120E">
        <w:t xml:space="preserve"> niezrozumiałym jest opieranie tego twierdzenia o zamieszczony w dzienniku pomiaru GNSS wykaz współrzędnych płaskich </w:t>
      </w:r>
      <w:r w:rsidR="00832EEF">
        <w:br/>
      </w:r>
      <w:r w:rsidR="00A4120E">
        <w:t>i wysokości z pomiaru kontrolnego. DWINGIK zdaje się nie rozumieć</w:t>
      </w:r>
      <w:r w:rsidR="00635440">
        <w:t xml:space="preserve"> w jakim celu wykonywany jest pomiar kontrolny na punktach osnowy geodezyjnej (o którym mowa w </w:t>
      </w:r>
      <w:r w:rsidR="00635440">
        <w:rPr>
          <w:rFonts w:cs="Calibri"/>
        </w:rPr>
        <w:t>§</w:t>
      </w:r>
      <w:r w:rsidR="00635440">
        <w:t>12 ust. 1 Rozporządzenia o standardach) oraz co określa w jakim układzie, zarówno sytuacyjnym jak i wysokościowym, wyznaczane są współrzędne i wysokości podczas wykonywania pomiarów geodezyjnych.</w:t>
      </w:r>
    </w:p>
    <w:p w:rsidR="00FA260E" w:rsidRDefault="00635440" w:rsidP="00191010">
      <w:pPr>
        <w:ind w:firstLine="709"/>
        <w:jc w:val="both"/>
      </w:pPr>
      <w:r>
        <w:t xml:space="preserve">Wprawdzie </w:t>
      </w:r>
      <w:r>
        <w:rPr>
          <w:rFonts w:cs="Calibri"/>
        </w:rPr>
        <w:t>§</w:t>
      </w:r>
      <w:r w:rsidR="00F446AE">
        <w:rPr>
          <w:rFonts w:cs="Calibri"/>
        </w:rPr>
        <w:t xml:space="preserve"> </w:t>
      </w:r>
      <w:r>
        <w:t>12 Rozporządzenia o standardach nie określa celu w jakim przy wykonywaniu pomiarów technikami kinematycznymi RTK wykonuje się pomiar kontrolny, niemniej</w:t>
      </w:r>
      <w:r w:rsidR="00EB5201">
        <w:t xml:space="preserve"> pewne jaśniejsze, aczkolwiek nader oczywiste, światło na tę kwestię dać mogą</w:t>
      </w:r>
      <w:r w:rsidR="00B02212">
        <w:t xml:space="preserve"> wydane </w:t>
      </w:r>
      <w:r w:rsidR="00B02212" w:rsidRPr="00B02212">
        <w:t>przez Głównego Geodetę Kraju w 2011r.</w:t>
      </w:r>
      <w:r w:rsidR="00B02212">
        <w:t xml:space="preserve"> </w:t>
      </w:r>
      <w:r w:rsidR="00B02212" w:rsidRPr="00B02212">
        <w:t>zalecenia techniczn</w:t>
      </w:r>
      <w:r w:rsidR="00B02212">
        <w:t>e pn.</w:t>
      </w:r>
      <w:r w:rsidR="00B02212" w:rsidRPr="00B02212">
        <w:t xml:space="preserve"> „</w:t>
      </w:r>
      <w:r w:rsidR="00B02212" w:rsidRPr="00FA260E">
        <w:rPr>
          <w:i/>
        </w:rPr>
        <w:t>Pomiary satelitarne GNSS oparte na systemie stacji referencyjnych ASG-EUPOS</w:t>
      </w:r>
      <w:r w:rsidR="00B02212" w:rsidRPr="00B02212">
        <w:t>”</w:t>
      </w:r>
      <w:r w:rsidR="00B02212">
        <w:t>. W</w:t>
      </w:r>
      <w:r w:rsidR="00B02212" w:rsidRPr="00B02212">
        <w:t xml:space="preserve"> punkcie 17.1. Rozdziału V.</w:t>
      </w:r>
      <w:r w:rsidR="00B02212">
        <w:t xml:space="preserve"> tych zaleceń</w:t>
      </w:r>
      <w:r w:rsidR="00B02212" w:rsidRPr="00B02212">
        <w:t xml:space="preserve"> autor </w:t>
      </w:r>
      <w:r w:rsidR="00B02212">
        <w:t xml:space="preserve">wprost </w:t>
      </w:r>
      <w:r w:rsidR="00B02212" w:rsidRPr="00B02212">
        <w:t>precyzuje ideę pomiaru kontrolnego określając iż „</w:t>
      </w:r>
      <w:r w:rsidR="00B02212" w:rsidRPr="00B02212">
        <w:rPr>
          <w:i/>
        </w:rPr>
        <w:t xml:space="preserve">Przed rozpoczęciem właściwych prac pomiarowych, </w:t>
      </w:r>
      <w:r w:rsidR="00B02212" w:rsidRPr="00606EE6">
        <w:rPr>
          <w:b/>
          <w:i/>
        </w:rPr>
        <w:t>należy sprawdzić poprawność działania sprzętu i otrzymywanych poprawek RTK</w:t>
      </w:r>
      <w:r w:rsidR="00B02212" w:rsidRPr="00B02212">
        <w:rPr>
          <w:i/>
        </w:rPr>
        <w:t xml:space="preserve"> wykonując pomiar na co najmniej jednym punkcie kontrolnym o znanych współrzędnych płaskich prostokątnych </w:t>
      </w:r>
      <w:r w:rsidR="00832EEF">
        <w:rPr>
          <w:i/>
        </w:rPr>
        <w:br/>
      </w:r>
      <w:r w:rsidR="00B02212" w:rsidRPr="00B02212">
        <w:rPr>
          <w:i/>
        </w:rPr>
        <w:t>i wysokości</w:t>
      </w:r>
      <w:r w:rsidR="00B02212" w:rsidRPr="00B02212">
        <w:t xml:space="preserve">”. </w:t>
      </w:r>
    </w:p>
    <w:p w:rsidR="00B02212" w:rsidRDefault="00B02212" w:rsidP="00F95F9A">
      <w:pPr>
        <w:spacing w:after="120"/>
        <w:ind w:firstLine="709"/>
        <w:jc w:val="both"/>
      </w:pPr>
      <w:r>
        <w:lastRenderedPageBreak/>
        <w:t>To w jakim układzie współrzędnych</w:t>
      </w:r>
      <w:r w:rsidR="00191010">
        <w:t xml:space="preserve"> płaskich</w:t>
      </w:r>
      <w:r>
        <w:t xml:space="preserve"> oraz jakim układzie wysokościowym wykonywane </w:t>
      </w:r>
      <w:r w:rsidR="00832EEF">
        <w:br/>
      </w:r>
      <w:r>
        <w:t>są wszelkie pomiary geodezyjne</w:t>
      </w:r>
      <w:r w:rsidR="00191010">
        <w:t xml:space="preserve"> określa, nie żaden pomiar kontrolny, lecz informacja w oparciu o jakie punkty odniesienia (zwykle punkty osnowy geodezyjnej) określone zostały współrzędne i wysokości punktów będących przedmiotem tych pomiarów. </w:t>
      </w:r>
      <w:r w:rsidR="00191010" w:rsidRPr="00191010">
        <w:t xml:space="preserve">W przypadku wykonywania geodezyjnych pomiarów sytuacyjnych </w:t>
      </w:r>
      <w:r w:rsidR="007601FC">
        <w:br/>
      </w:r>
      <w:r w:rsidR="00191010" w:rsidRPr="00191010">
        <w:t>i wysokościowych metodą precyzyjnego pozycjonowania przy pomocy GNSS</w:t>
      </w:r>
      <w:r w:rsidR="00C17D45">
        <w:t xml:space="preserve"> (dalej także „metoda GNSS”)</w:t>
      </w:r>
      <w:r w:rsidR="00191010" w:rsidRPr="00191010">
        <w:t xml:space="preserve">, punktami odniesienia w oparciu o które wyznaczane są współrzędne mierzonych szczegółów sytuacyjnych </w:t>
      </w:r>
      <w:r w:rsidR="007601FC">
        <w:br/>
      </w:r>
      <w:r w:rsidR="00191010" w:rsidRPr="00191010">
        <w:t xml:space="preserve">i wysokościowych są </w:t>
      </w:r>
      <w:r w:rsidR="00191010" w:rsidRPr="00191010">
        <w:rPr>
          <w:u w:val="single"/>
        </w:rPr>
        <w:t xml:space="preserve">stacje referencyjne, które stanowią podstawową fundamentalną osnowę geodezyjną </w:t>
      </w:r>
      <w:r w:rsidR="007601FC">
        <w:rPr>
          <w:u w:val="single"/>
        </w:rPr>
        <w:br/>
      </w:r>
      <w:r w:rsidR="00191010" w:rsidRPr="00191010">
        <w:rPr>
          <w:u w:val="single"/>
        </w:rPr>
        <w:t>i których współrzędne płaskie i wysokości określone są w obowiązującym państwowym systemie odniesień przestrzennych</w:t>
      </w:r>
      <w:r w:rsidR="00191010" w:rsidRPr="00191010">
        <w:t xml:space="preserve"> (informacja ta zawarta jest zresztą w </w:t>
      </w:r>
      <w:r w:rsidR="00FA260E">
        <w:rPr>
          <w:rFonts w:cs="Calibri"/>
          <w:b/>
        </w:rPr>
        <w:t>§</w:t>
      </w:r>
      <w:r w:rsidR="00191010" w:rsidRPr="00191010">
        <w:rPr>
          <w:b/>
        </w:rPr>
        <w:t xml:space="preserve"> 2 pkt 20 i 21 Rozporządzenia </w:t>
      </w:r>
      <w:r w:rsidR="00FA260E">
        <w:rPr>
          <w:b/>
        </w:rPr>
        <w:t>o standardach</w:t>
      </w:r>
      <w:r w:rsidR="00191010" w:rsidRPr="00191010">
        <w:t xml:space="preserve">). Punktami odniesienia nie są natomiast punkty osnowy geodezyjnej wykorzystane do wykonywania pomiarów kontrolnych w myśl </w:t>
      </w:r>
      <w:r w:rsidR="00FA260E">
        <w:rPr>
          <w:rFonts w:cs="Calibri"/>
        </w:rPr>
        <w:t>§</w:t>
      </w:r>
      <w:r w:rsidR="00191010" w:rsidRPr="00191010">
        <w:t xml:space="preserve"> 12 Rozporządzenia w sprawie standardów, ponieważ </w:t>
      </w:r>
      <w:r w:rsidR="00191010" w:rsidRPr="00191010">
        <w:rPr>
          <w:u w:val="single"/>
        </w:rPr>
        <w:t>nie służą one do matematycznego wyznaczenia współrzędnych mierzonych szczegółów terenowych</w:t>
      </w:r>
      <w:r w:rsidR="00191010" w:rsidRPr="00191010">
        <w:t>.</w:t>
      </w:r>
      <w:r w:rsidR="00191010">
        <w:t xml:space="preserve"> </w:t>
      </w:r>
      <w:r w:rsidR="00191010" w:rsidRPr="00191010">
        <w:t>Pomiar kontrolny ma zatem na celu eliminację błędów grubych podczas wykonywania pomiarów sytuacyjnych i wysokościowych metodą GNSS, a nie</w:t>
      </w:r>
      <w:r w:rsidR="00191010">
        <w:t xml:space="preserve"> określenie </w:t>
      </w:r>
      <w:r w:rsidR="007601FC">
        <w:br/>
      </w:r>
      <w:r w:rsidR="00191010">
        <w:t>w jakim układzie współrzędnych płaskich czy układzie wysokościowym</w:t>
      </w:r>
      <w:r w:rsidR="004E574A">
        <w:t xml:space="preserve"> wykonane zostały pomiary geodezyjne </w:t>
      </w:r>
      <w:r w:rsidR="007601FC">
        <w:br/>
      </w:r>
      <w:r w:rsidR="004E574A">
        <w:t>tą metodą, co sugeruje DWINGIK.</w:t>
      </w:r>
    </w:p>
    <w:p w:rsidR="004E574A" w:rsidRDefault="004E574A" w:rsidP="00F95F9A">
      <w:pPr>
        <w:spacing w:after="120"/>
        <w:ind w:firstLine="709"/>
        <w:jc w:val="both"/>
      </w:pPr>
      <w:r w:rsidRPr="004E574A">
        <w:t xml:space="preserve">Powyższe jest zresztą elementarną wiedzą nauczaną w szkołach na kierunku geodezja i kartografia </w:t>
      </w:r>
      <w:r w:rsidR="007601FC">
        <w:br/>
      </w:r>
      <w:r w:rsidRPr="004E574A">
        <w:t>na jednych z pierwszych zajęć z przedmiotu satelitarnych technik pomiarowych w geodezji, dlatego zatrważające jest</w:t>
      </w:r>
      <w:r w:rsidR="00EE2540">
        <w:t>,</w:t>
      </w:r>
      <w:r w:rsidRPr="004E574A">
        <w:t xml:space="preserve"> </w:t>
      </w:r>
      <w:r w:rsidR="00EE2540">
        <w:t>że</w:t>
      </w:r>
      <w:r>
        <w:t xml:space="preserve"> organ Służby Geodezyjnej i Kartograficznej</w:t>
      </w:r>
      <w:r w:rsidR="008E14D3">
        <w:t xml:space="preserve"> (dalej także „SGIK”)</w:t>
      </w:r>
      <w:r>
        <w:t>, którego jednym z najważniejszych zadań jest kontrolowanie zgodności wykonywania prac geodezyjnych z przepisami Ustawy GIK</w:t>
      </w:r>
      <w:r w:rsidR="00EE2540">
        <w:t xml:space="preserve"> oraz kontrolowanie działań administracji geodezyjnej, wysuwa tak niedorzeczne twierdzenia podczas</w:t>
      </w:r>
      <w:r w:rsidR="00FA260E">
        <w:t xml:space="preserve"> realizacji podstawowego</w:t>
      </w:r>
      <w:r w:rsidR="00EE2540">
        <w:t xml:space="preserve"> </w:t>
      </w:r>
      <w:r w:rsidR="00FA260E">
        <w:t>zadania tej służby</w:t>
      </w:r>
      <w:r w:rsidR="00EE2540">
        <w:t xml:space="preserve"> </w:t>
      </w:r>
      <w:r w:rsidR="00FA260E">
        <w:t>jaką jest weryfikacja</w:t>
      </w:r>
      <w:r w:rsidR="00EE2540">
        <w:t xml:space="preserve"> operatu technicznego.</w:t>
      </w:r>
    </w:p>
    <w:p w:rsidR="00EE2540" w:rsidRDefault="00C17D45" w:rsidP="00F95F9A">
      <w:pPr>
        <w:spacing w:after="120"/>
        <w:ind w:firstLine="709"/>
        <w:jc w:val="both"/>
      </w:pPr>
      <w:r>
        <w:t>Gdyby nawet</w:t>
      </w:r>
      <w:r w:rsidR="007601FC">
        <w:t>,</w:t>
      </w:r>
      <w:r>
        <w:t xml:space="preserve"> </w:t>
      </w:r>
      <w:r w:rsidR="007A502E">
        <w:t>przypuszczalnie</w:t>
      </w:r>
      <w:r w:rsidR="007601FC">
        <w:t>,</w:t>
      </w:r>
      <w:r w:rsidR="007A502E">
        <w:t xml:space="preserve"> uznać argumentację DWINGIK</w:t>
      </w:r>
      <w:r w:rsidR="00FA260E">
        <w:t xml:space="preserve"> za słuszną</w:t>
      </w:r>
      <w:r w:rsidR="007A502E">
        <w:t xml:space="preserve">, to wynik przeprowadzonej przez niego w opisie nieprawidłowości analizy odchyłek z pomiaru kontrolnego w odniesieniu do innych niż </w:t>
      </w:r>
      <w:r w:rsidR="007601FC">
        <w:br/>
      </w:r>
      <w:r w:rsidR="007A502E">
        <w:t xml:space="preserve">w operacie rzędnych wysokościowych </w:t>
      </w:r>
      <w:r w:rsidR="00F446AE">
        <w:t xml:space="preserve">(wskazanych przed DWINGIK jako układ </w:t>
      </w:r>
      <w:proofErr w:type="spellStart"/>
      <w:r w:rsidR="00F446AE">
        <w:t>Kronsztadt</w:t>
      </w:r>
      <w:proofErr w:type="spellEnd"/>
      <w:r w:rsidR="00F446AE">
        <w:t xml:space="preserve"> 86) również potwierdzają wykonanie przez wykonawcę pomiaru w układzie </w:t>
      </w:r>
      <w:proofErr w:type="spellStart"/>
      <w:r w:rsidR="00F446AE">
        <w:t>Kronsztadt</w:t>
      </w:r>
      <w:proofErr w:type="spellEnd"/>
      <w:r w:rsidR="00F446AE">
        <w:t xml:space="preserve"> 86, ponieważ odchyłki </w:t>
      </w:r>
      <w:r w:rsidR="0001497A">
        <w:br/>
      </w:r>
      <w:r w:rsidR="00F446AE">
        <w:t xml:space="preserve">te nie przekraczają wartości o której mowa w </w:t>
      </w:r>
      <w:r w:rsidR="00F446AE">
        <w:rPr>
          <w:rFonts w:cs="Calibri"/>
        </w:rPr>
        <w:t xml:space="preserve">§ </w:t>
      </w:r>
      <w:r w:rsidR="00F446AE">
        <w:t xml:space="preserve">12 ust. 2 pkt 2 Rozporządzenia o standardach. Tym bardziej zdumiewające jest na jakiej podstawie DWINGIK stwierdził, że wykonawca przy wykonywaniu pomiarów </w:t>
      </w:r>
      <w:r w:rsidR="00F446AE" w:rsidRPr="007601FC">
        <w:rPr>
          <w:sz w:val="21"/>
          <w:szCs w:val="21"/>
        </w:rPr>
        <w:t xml:space="preserve">wysokościowych techniką kinematyczną RTN otrzymał wyniki tych pomiarów w układzie innym niż </w:t>
      </w:r>
      <w:proofErr w:type="spellStart"/>
      <w:r w:rsidR="00F446AE" w:rsidRPr="007601FC">
        <w:rPr>
          <w:sz w:val="21"/>
          <w:szCs w:val="21"/>
        </w:rPr>
        <w:t>Kronsztadt</w:t>
      </w:r>
      <w:proofErr w:type="spellEnd"/>
      <w:r w:rsidR="00F446AE" w:rsidRPr="007601FC">
        <w:rPr>
          <w:sz w:val="21"/>
          <w:szCs w:val="21"/>
        </w:rPr>
        <w:t xml:space="preserve"> 86.</w:t>
      </w:r>
    </w:p>
    <w:p w:rsidR="00661823" w:rsidRDefault="00661823" w:rsidP="00191010">
      <w:pPr>
        <w:ind w:firstLine="709"/>
        <w:jc w:val="both"/>
      </w:pPr>
      <w:r>
        <w:t xml:space="preserve">Jednocześnie należy wskazać, że co zawiera dziennik pomiarowy określa </w:t>
      </w:r>
      <w:r>
        <w:rPr>
          <w:rFonts w:cs="Calibri"/>
        </w:rPr>
        <w:t>§ 71 ust</w:t>
      </w:r>
      <w:r w:rsidR="00133B16">
        <w:rPr>
          <w:rFonts w:cs="Calibri"/>
        </w:rPr>
        <w:t>.</w:t>
      </w:r>
      <w:r>
        <w:rPr>
          <w:rFonts w:cs="Calibri"/>
        </w:rPr>
        <w:t xml:space="preserve"> 6 Rozporządzenia </w:t>
      </w:r>
      <w:r w:rsidR="0001497A">
        <w:rPr>
          <w:rFonts w:cs="Calibri"/>
        </w:rPr>
        <w:br/>
      </w:r>
      <w:r>
        <w:rPr>
          <w:rFonts w:cs="Calibri"/>
        </w:rPr>
        <w:t xml:space="preserve">o standardach. Przepis ten nie wymaga zamieszczania w dzienniku pomiarowym </w:t>
      </w:r>
      <w:r w:rsidR="00133B16">
        <w:rPr>
          <w:rFonts w:cs="Calibri"/>
        </w:rPr>
        <w:t>zestawienia odchyłek liniowych ustalonych na podstawie pomiaru kontrolnego. § 71 Rozporządzenia o standardach</w:t>
      </w:r>
      <w:r w:rsidR="000144FE">
        <w:rPr>
          <w:rFonts w:cs="Calibri"/>
        </w:rPr>
        <w:t>, ani żaden inny przepis tego aktu,</w:t>
      </w:r>
      <w:r w:rsidR="00133B16">
        <w:rPr>
          <w:rFonts w:cs="Calibri"/>
        </w:rPr>
        <w:t xml:space="preserve"> nie przewiduj</w:t>
      </w:r>
      <w:r w:rsidR="000144FE">
        <w:rPr>
          <w:rFonts w:cs="Calibri"/>
        </w:rPr>
        <w:t>ą</w:t>
      </w:r>
      <w:r w:rsidR="00133B16">
        <w:rPr>
          <w:rFonts w:cs="Calibri"/>
        </w:rPr>
        <w:t xml:space="preserve"> również zamieszczania takiego zestawienia w żadnym innym dokumencie operatu technicznego. </w:t>
      </w:r>
      <w:r w:rsidR="000E24E5">
        <w:rPr>
          <w:rFonts w:cs="Calibri"/>
        </w:rPr>
        <w:t>Umieszczenie</w:t>
      </w:r>
      <w:r w:rsidR="000144FE">
        <w:rPr>
          <w:rFonts w:cs="Calibri"/>
        </w:rPr>
        <w:t xml:space="preserve"> przez wykonawcę</w:t>
      </w:r>
      <w:r w:rsidR="000E24E5">
        <w:rPr>
          <w:rFonts w:cs="Calibri"/>
        </w:rPr>
        <w:t xml:space="preserve"> takiego zestawienia można zatem uznać za informację dodatkową, mającą charakt</w:t>
      </w:r>
      <w:r w:rsidR="009B65EB">
        <w:rPr>
          <w:rFonts w:cs="Calibri"/>
        </w:rPr>
        <w:t>er pomocniczy bądź informacyjny. J</w:t>
      </w:r>
      <w:r w:rsidR="000E24E5">
        <w:rPr>
          <w:rFonts w:cs="Calibri"/>
        </w:rPr>
        <w:t xml:space="preserve">ednakże w myśl obowiązujących </w:t>
      </w:r>
      <w:r w:rsidR="007601FC">
        <w:rPr>
          <w:rFonts w:cs="Calibri"/>
        </w:rPr>
        <w:br/>
      </w:r>
      <w:r w:rsidR="000E24E5">
        <w:rPr>
          <w:rFonts w:cs="Calibri"/>
        </w:rPr>
        <w:t>dla przedmiotowej pracy przepisów prawa</w:t>
      </w:r>
      <w:r w:rsidR="000144FE">
        <w:rPr>
          <w:rFonts w:cs="Calibri"/>
        </w:rPr>
        <w:t>,</w:t>
      </w:r>
      <w:r w:rsidR="000E24E5">
        <w:rPr>
          <w:rFonts w:cs="Calibri"/>
        </w:rPr>
        <w:t xml:space="preserve"> </w:t>
      </w:r>
      <w:r w:rsidR="009B65EB">
        <w:rPr>
          <w:rFonts w:cs="Calibri"/>
        </w:rPr>
        <w:t xml:space="preserve">taka dodatkowa informacja </w:t>
      </w:r>
      <w:r w:rsidR="000E24E5">
        <w:rPr>
          <w:rFonts w:cs="Calibri"/>
        </w:rPr>
        <w:t xml:space="preserve">nie może być podstawą do określenia </w:t>
      </w:r>
      <w:r w:rsidR="007601FC">
        <w:rPr>
          <w:rFonts w:cs="Calibri"/>
        </w:rPr>
        <w:br/>
      </w:r>
      <w:r w:rsidR="000E24E5">
        <w:rPr>
          <w:rFonts w:cs="Calibri"/>
        </w:rPr>
        <w:t>w jakim układzie wysokościowym wykonany został pomiar metodą GNSS i nie powinna być przedmiotem weryfikacji w tym zakresie</w:t>
      </w:r>
      <w:r w:rsidR="009B65EB">
        <w:rPr>
          <w:rFonts w:cs="Calibri"/>
        </w:rPr>
        <w:t>.</w:t>
      </w:r>
      <w:r w:rsidR="000E24E5">
        <w:rPr>
          <w:rFonts w:cs="Calibri"/>
        </w:rPr>
        <w:t xml:space="preserve"> </w:t>
      </w:r>
      <w:r w:rsidR="009B65EB">
        <w:rPr>
          <w:rFonts w:cs="Calibri"/>
        </w:rPr>
        <w:t>S</w:t>
      </w:r>
      <w:r w:rsidR="000E24E5">
        <w:rPr>
          <w:rFonts w:cs="Calibri"/>
        </w:rPr>
        <w:t>zczególnie w sytuacji gdy zestawienie to nie zawiera informacji o tym do rzędnych w jakim</w:t>
      </w:r>
      <w:r w:rsidR="009B65EB">
        <w:rPr>
          <w:rFonts w:cs="Calibri"/>
        </w:rPr>
        <w:t xml:space="preserve"> układzie wysokościowym wyniki pomiaru kontrolnego są przyrównywane. Natomiast, w celu weryfikacji poprawności wykonania pomiarów metodą GNSS w kontekście wymogów określonych w § </w:t>
      </w:r>
      <w:r w:rsidR="009B65EB">
        <w:t xml:space="preserve">12 Rozporządzenia </w:t>
      </w:r>
      <w:r w:rsidR="007601FC">
        <w:br/>
      </w:r>
      <w:r w:rsidR="009B65EB">
        <w:t>o standardach, organ weryfikujący każdorazowo może i powinien</w:t>
      </w:r>
      <w:r w:rsidR="0035443A">
        <w:t xml:space="preserve"> przyrównywać wyniki pomiarów kontrolnych zawartych w dziennikach pomiarowych z </w:t>
      </w:r>
      <w:r w:rsidR="0035443A" w:rsidRPr="0035443A">
        <w:rPr>
          <w:b/>
        </w:rPr>
        <w:t>aktualnymi</w:t>
      </w:r>
      <w:r w:rsidR="000144FE">
        <w:rPr>
          <w:b/>
        </w:rPr>
        <w:t xml:space="preserve"> na moment zakończenia kontrolowanej pracy geodezyjnej</w:t>
      </w:r>
      <w:r w:rsidR="0035443A">
        <w:t xml:space="preserve"> danymi zawartymi w PZGIK. </w:t>
      </w:r>
    </w:p>
    <w:p w:rsidR="007601FC" w:rsidRDefault="007601FC" w:rsidP="008D2436">
      <w:pPr>
        <w:ind w:firstLine="709"/>
        <w:jc w:val="both"/>
      </w:pPr>
      <w:r>
        <w:lastRenderedPageBreak/>
        <w:t>Reasumując, wykonawca w ramach przedmiotowej pracy geodezyjnej</w:t>
      </w:r>
      <w:r w:rsidR="0001497A">
        <w:t xml:space="preserve"> wykonał pomiar wysokościowy techniką kinematyczną RTN w układzie odniesienia </w:t>
      </w:r>
      <w:proofErr w:type="spellStart"/>
      <w:r w:rsidR="0001497A">
        <w:t>Kronsztadt</w:t>
      </w:r>
      <w:proofErr w:type="spellEnd"/>
      <w:r w:rsidR="0001497A">
        <w:t xml:space="preserve"> 86 (z wykorzystaniem modelu geoidy dla tego układu) i w tym układzie opracował wyniki tych pomiarów, co potwierdzić może wynik pomiaru kontrolnego </w:t>
      </w:r>
      <w:r w:rsidR="00F95F9A">
        <w:br/>
      </w:r>
      <w:r w:rsidR="0001497A">
        <w:t>na punktach osnowy wysokościowej, niezależnie od tego czy przyró</w:t>
      </w:r>
      <w:r w:rsidR="00F95F9A">
        <w:t xml:space="preserve">wna się go do wysokości tych punktów przyjętych przez wykonawcę, czy wysokości przyjętych przez DWINGIK, ponieważ w obu przypadkach uzyskane odchyłki liniowe nie przekroczyły wartości o której mowa w </w:t>
      </w:r>
      <w:r w:rsidR="00F95F9A">
        <w:rPr>
          <w:rFonts w:cs="Calibri"/>
        </w:rPr>
        <w:t>§</w:t>
      </w:r>
      <w:r w:rsidR="00F95F9A">
        <w:rPr>
          <w:rFonts w:cs="Calibri"/>
        </w:rPr>
        <w:t xml:space="preserve"> 12 ust. 2 pkt 2 Rozporządzenia o standardach </w:t>
      </w:r>
      <w:r w:rsidR="00F95F9A">
        <w:rPr>
          <w:rFonts w:cs="Calibri"/>
        </w:rPr>
        <w:br/>
        <w:t>(co wykazał DWINGIK w informacji o zakresie przedmiotowej nieprawidłowości).</w:t>
      </w:r>
    </w:p>
    <w:p w:rsidR="008D2436" w:rsidRDefault="008D2436" w:rsidP="008D2436">
      <w:pPr>
        <w:ind w:firstLine="709"/>
        <w:jc w:val="both"/>
      </w:pPr>
      <w:r>
        <w:t>Biorąc wszystko powyższe pod uwagę</w:t>
      </w:r>
      <w:r w:rsidR="0077515F">
        <w:t xml:space="preserve"> oraz argumentację zawartą w kolejnym punkcie stanowiska</w:t>
      </w:r>
      <w:r>
        <w:t xml:space="preserve">, należy stwierdzić, iż brak jest podstaw do odmowy przyjęcia przedmiotowej dokumentacji do PZGIK </w:t>
      </w:r>
      <w:r w:rsidR="00F95F9A">
        <w:br/>
      </w:r>
      <w:r>
        <w:t>na podstawie przywołanej w punkcie II.1. protokołu weryfikacji informacji o zakresie nieprawidłowości.</w:t>
      </w:r>
    </w:p>
    <w:p w:rsidR="008D2436" w:rsidRPr="00087B77" w:rsidRDefault="008D2436" w:rsidP="008D2436">
      <w:pPr>
        <w:rPr>
          <w:b/>
        </w:rPr>
      </w:pPr>
      <w:r w:rsidRPr="00087B77">
        <w:rPr>
          <w:b/>
        </w:rPr>
        <w:t>Ad. II.2.</w:t>
      </w:r>
    </w:p>
    <w:p w:rsidR="008D2436" w:rsidRDefault="008D2436" w:rsidP="008D2436">
      <w:pPr>
        <w:ind w:firstLine="709"/>
        <w:jc w:val="both"/>
      </w:pPr>
      <w:r>
        <w:t xml:space="preserve">Przytoczoną nieprawidłowość należy uznać za bezzasadną. </w:t>
      </w:r>
      <w:r w:rsidR="00E43979">
        <w:t xml:space="preserve">Zgodnie z </w:t>
      </w:r>
      <w:r w:rsidR="00E43979">
        <w:rPr>
          <w:rFonts w:cs="Calibri"/>
        </w:rPr>
        <w:t xml:space="preserve">§ </w:t>
      </w:r>
      <w:r w:rsidR="00E43979">
        <w:t xml:space="preserve">6 ust. 1 Rozporządzenia </w:t>
      </w:r>
      <w:r w:rsidR="00F95F9A">
        <w:br/>
      </w:r>
      <w:r w:rsidR="00E43979">
        <w:t>o standardach:</w:t>
      </w:r>
    </w:p>
    <w:p w:rsidR="00E43979" w:rsidRDefault="00E43979" w:rsidP="00E43979">
      <w:pPr>
        <w:ind w:left="1276" w:right="2125" w:firstLine="709"/>
        <w:jc w:val="both"/>
      </w:pPr>
      <w:r>
        <w:t>„</w:t>
      </w:r>
      <w:r w:rsidRPr="00E43979">
        <w:rPr>
          <w:i/>
        </w:rPr>
        <w:t xml:space="preserve">Przy wykonywaniu geodezyjnych pomiarów sytuacyjnych i wysokościowych wykorzystuje się materiały </w:t>
      </w:r>
      <w:proofErr w:type="spellStart"/>
      <w:r w:rsidRPr="00E43979">
        <w:rPr>
          <w:i/>
        </w:rPr>
        <w:t>PZGiK</w:t>
      </w:r>
      <w:proofErr w:type="spellEnd"/>
      <w:r w:rsidRPr="00E43979">
        <w:rPr>
          <w:i/>
        </w:rPr>
        <w:t>, jeżeli wyniki analizy tych materiałów, przeprowadzone przez wykonawcę prac geodezyjnych i kartograficznych, zwanego dalej „wykonawcą”, pod względem dokładności, aktualności i  kompletności, wskazują na ich przydatność do wykonania pomiarów</w:t>
      </w:r>
      <w:r w:rsidRPr="00E43979">
        <w:t>.</w:t>
      </w:r>
      <w:r>
        <w:t>”</w:t>
      </w:r>
    </w:p>
    <w:p w:rsidR="00E43979" w:rsidRDefault="00263C0E" w:rsidP="008D2436">
      <w:pPr>
        <w:ind w:firstLine="709"/>
        <w:jc w:val="both"/>
      </w:pPr>
      <w:r>
        <w:t>W ramach udostępnienia materiałów do realizacji przedmiotowej pracy geodezyjnej, dnia 04 września 2019</w:t>
      </w:r>
      <w:r w:rsidR="00F95F9A">
        <w:t xml:space="preserve"> </w:t>
      </w:r>
      <w:r>
        <w:t>r. Starosta Głogowski</w:t>
      </w:r>
      <w:r w:rsidR="00096E37">
        <w:t xml:space="preserve"> (dalej także „organ I instancji)</w:t>
      </w:r>
      <w:r>
        <w:t xml:space="preserve"> drogą mailową udostępnił wykonawcy wykazy współrzędnych osnowy geodezyjnej (</w:t>
      </w:r>
      <w:r w:rsidRPr="000144FE">
        <w:rPr>
          <w:b/>
        </w:rPr>
        <w:t>Załącznik nr 1</w:t>
      </w:r>
      <w:r>
        <w:t xml:space="preserve"> do stanowiska). Sprawdzając przy tym wykazy tych samych punktów osnowy za pośrednictwem portalu mapowego Starostwa Powiatowego w Głogowie w dniu sporządzenia niniejszego pisma, zauważyć można dość znaczącą różnicę w stosunku do tych udostępnionych wykonawcy</w:t>
      </w:r>
      <w:r w:rsidR="000144FE">
        <w:t xml:space="preserve"> we wrześniu 2019 r</w:t>
      </w:r>
      <w:r>
        <w:t>.</w:t>
      </w:r>
      <w:r w:rsidR="00744814">
        <w:t xml:space="preserve"> Różnice te </w:t>
      </w:r>
      <w:r w:rsidR="000144FE">
        <w:t>wyróżnione</w:t>
      </w:r>
      <w:r w:rsidR="00744814">
        <w:t xml:space="preserve"> </w:t>
      </w:r>
      <w:r w:rsidR="000144FE">
        <w:t>zostały</w:t>
      </w:r>
      <w:r w:rsidR="00744814">
        <w:t xml:space="preserve"> na poniższy</w:t>
      </w:r>
      <w:r w:rsidR="003F530A">
        <w:t>m</w:t>
      </w:r>
      <w:r w:rsidR="00744814">
        <w:t xml:space="preserve"> zestawieni</w:t>
      </w:r>
      <w:r w:rsidR="003F530A">
        <w:t>u.</w:t>
      </w:r>
    </w:p>
    <w:tbl>
      <w:tblPr>
        <w:tblStyle w:val="Tabela-Siatka"/>
        <w:tblW w:w="1077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5218"/>
      </w:tblGrid>
      <w:tr w:rsidR="00C54AB6" w:rsidTr="00F95F9A">
        <w:tc>
          <w:tcPr>
            <w:tcW w:w="5556" w:type="dxa"/>
            <w:vAlign w:val="center"/>
          </w:tcPr>
          <w:p w:rsidR="00744814" w:rsidRPr="00087B77" w:rsidRDefault="00744814" w:rsidP="00C54AB6">
            <w:pPr>
              <w:spacing w:after="0"/>
              <w:jc w:val="center"/>
              <w:rPr>
                <w:b/>
              </w:rPr>
            </w:pPr>
            <w:r w:rsidRPr="00087B77">
              <w:rPr>
                <w:b/>
              </w:rPr>
              <w:t>Wykazy z dnia 04.09.2019</w:t>
            </w:r>
          </w:p>
        </w:tc>
        <w:tc>
          <w:tcPr>
            <w:tcW w:w="5218" w:type="dxa"/>
            <w:vAlign w:val="center"/>
          </w:tcPr>
          <w:p w:rsidR="00744814" w:rsidRPr="00087B77" w:rsidRDefault="00744814" w:rsidP="00C54AB6">
            <w:pPr>
              <w:spacing w:after="0"/>
              <w:jc w:val="center"/>
              <w:rPr>
                <w:b/>
              </w:rPr>
            </w:pPr>
            <w:r w:rsidRPr="00087B77">
              <w:rPr>
                <w:b/>
              </w:rPr>
              <w:t>Wykazy z dnia 13.04.2021</w:t>
            </w:r>
          </w:p>
        </w:tc>
      </w:tr>
      <w:tr w:rsidR="00C54AB6" w:rsidTr="00F95F9A">
        <w:tc>
          <w:tcPr>
            <w:tcW w:w="5556" w:type="dxa"/>
            <w:vAlign w:val="center"/>
          </w:tcPr>
          <w:p w:rsidR="00744814" w:rsidRDefault="00744814" w:rsidP="00C54AB6">
            <w:pPr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B1874E5" wp14:editId="54494BA8">
                  <wp:extent cx="3347288" cy="1351128"/>
                  <wp:effectExtent l="19050" t="19050" r="24765" b="2095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210" cy="13793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vAlign w:val="center"/>
          </w:tcPr>
          <w:p w:rsidR="00744814" w:rsidRDefault="00C54AB6" w:rsidP="00C54AB6">
            <w:pPr>
              <w:spacing w:after="0"/>
              <w:jc w:val="center"/>
            </w:pPr>
            <w:r w:rsidRPr="00C54AB6">
              <w:rPr>
                <w:noProof/>
                <w:lang w:eastAsia="pl-PL"/>
              </w:rPr>
              <w:drawing>
                <wp:inline distT="0" distB="0" distL="0" distR="0" wp14:anchorId="705FBEDE" wp14:editId="242A3067">
                  <wp:extent cx="3150784" cy="1949472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537" cy="1983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B6" w:rsidTr="0032343B">
        <w:trPr>
          <w:trHeight w:val="3263"/>
        </w:trPr>
        <w:tc>
          <w:tcPr>
            <w:tcW w:w="5556" w:type="dxa"/>
            <w:vAlign w:val="center"/>
          </w:tcPr>
          <w:p w:rsidR="00744814" w:rsidRDefault="00744814" w:rsidP="00C54AB6">
            <w:pPr>
              <w:spacing w:after="0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5E2333EC" wp14:editId="078BD4D5">
                  <wp:extent cx="3350525" cy="1340278"/>
                  <wp:effectExtent l="19050" t="19050" r="21590" b="1270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430" cy="13814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vAlign w:val="center"/>
          </w:tcPr>
          <w:p w:rsidR="00744814" w:rsidRDefault="007A4608" w:rsidP="00C54AB6">
            <w:pPr>
              <w:spacing w:after="0"/>
              <w:jc w:val="center"/>
            </w:pPr>
            <w:r w:rsidRPr="007A4608">
              <w:rPr>
                <w:noProof/>
                <w:lang w:eastAsia="pl-PL"/>
              </w:rPr>
              <w:drawing>
                <wp:inline distT="0" distB="0" distL="0" distR="0" wp14:anchorId="0D6128B6" wp14:editId="63638D34">
                  <wp:extent cx="3166281" cy="1911831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745" cy="1916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AB6" w:rsidTr="00F95F9A">
        <w:tc>
          <w:tcPr>
            <w:tcW w:w="5556" w:type="dxa"/>
            <w:vAlign w:val="center"/>
          </w:tcPr>
          <w:p w:rsidR="00744814" w:rsidRDefault="003F530A" w:rsidP="00C54AB6">
            <w:pPr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EAF5C06" wp14:editId="386A3755">
                  <wp:extent cx="3323230" cy="1345101"/>
                  <wp:effectExtent l="19050" t="19050" r="10795" b="266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4644" cy="13861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vAlign w:val="center"/>
          </w:tcPr>
          <w:p w:rsidR="00744814" w:rsidRDefault="00120232" w:rsidP="00C54AB6">
            <w:pPr>
              <w:spacing w:after="0"/>
              <w:jc w:val="center"/>
            </w:pPr>
            <w:r w:rsidRPr="00120232">
              <w:rPr>
                <w:noProof/>
                <w:lang w:eastAsia="pl-PL"/>
              </w:rPr>
              <w:drawing>
                <wp:inline distT="0" distB="0" distL="0" distR="0" wp14:anchorId="050B8F5C" wp14:editId="27875DC4">
                  <wp:extent cx="3149701" cy="1787857"/>
                  <wp:effectExtent l="0" t="0" r="0" b="317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904" cy="1844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6AE" w:rsidRDefault="00AB1FA0" w:rsidP="0032343B">
      <w:pPr>
        <w:spacing w:before="80" w:line="252" w:lineRule="auto"/>
        <w:ind w:firstLine="709"/>
        <w:jc w:val="both"/>
      </w:pPr>
      <w:r>
        <w:t xml:space="preserve">Jak widać na powyższych zestawieniach, w przeciwieństwie do danych zawartych na obecnie aktualnych wykazach punktów osnowy geodezyjnej, </w:t>
      </w:r>
      <w:r w:rsidR="00D208EB">
        <w:t>dla</w:t>
      </w:r>
      <w:r>
        <w:t xml:space="preserve"> realizacji przedmiotowej pracy geodezyjnej, we wrześniu 2019 r. </w:t>
      </w:r>
      <w:r w:rsidR="0032343B">
        <w:t>organ I instancji</w:t>
      </w:r>
      <w:r>
        <w:t xml:space="preserve"> udostępnił wykonawcy wykazy zawierające tylko jedną wartość rzę</w:t>
      </w:r>
      <w:r w:rsidR="00C249C9">
        <w:t>dnej dla poszczególnych punktów oznaczonych jako układ wysokościowy ‘</w:t>
      </w:r>
      <w:r w:rsidR="00C249C9" w:rsidRPr="0032343B">
        <w:rPr>
          <w:i/>
        </w:rPr>
        <w:t>Nieokreślony</w:t>
      </w:r>
      <w:r w:rsidR="00C249C9">
        <w:t xml:space="preserve">’. Nawiązując kontakt telefoniczny, już na etapie realizacji pracy geodezyjnej, wykonawca następnie </w:t>
      </w:r>
      <w:r w:rsidR="00762599">
        <w:t>uzyskał</w:t>
      </w:r>
      <w:r w:rsidR="00C249C9">
        <w:t xml:space="preserve"> informację od pracowników starostwa</w:t>
      </w:r>
      <w:r w:rsidR="00762599">
        <w:t xml:space="preserve"> o tym, </w:t>
      </w:r>
      <w:r w:rsidR="0032343B">
        <w:br/>
      </w:r>
      <w:r w:rsidR="00762599">
        <w:t xml:space="preserve">że zawarte na </w:t>
      </w:r>
      <w:r w:rsidR="007E5717">
        <w:t xml:space="preserve">udostępnionych wykazach rzędne, jak również dane wysokościowe zawarte na mapie zasadniczej, określone są w układzie </w:t>
      </w:r>
      <w:proofErr w:type="spellStart"/>
      <w:r w:rsidR="007E5717">
        <w:t>Kronsztadt</w:t>
      </w:r>
      <w:proofErr w:type="spellEnd"/>
      <w:r w:rsidR="007E5717">
        <w:t xml:space="preserve"> 86. </w:t>
      </w:r>
      <w:r w:rsidR="007B2A93">
        <w:t>Informację tę dot. mapy zasadniczej można</w:t>
      </w:r>
      <w:r w:rsidR="00D208EB">
        <w:t xml:space="preserve"> łatwo</w:t>
      </w:r>
      <w:r w:rsidR="007B2A93">
        <w:t xml:space="preserve"> zweryfikować porównując różnicę</w:t>
      </w:r>
      <w:r w:rsidR="001C2921">
        <w:t xml:space="preserve"> wysokości pomiędzy układami </w:t>
      </w:r>
      <w:proofErr w:type="spellStart"/>
      <w:r w:rsidR="001C2921">
        <w:t>Kronsztadt</w:t>
      </w:r>
      <w:proofErr w:type="spellEnd"/>
      <w:r w:rsidR="001C2921">
        <w:t xml:space="preserve"> 86 a </w:t>
      </w:r>
      <w:r w:rsidR="001C2921" w:rsidRPr="001C2921">
        <w:t>PL-EVRF2007-NH</w:t>
      </w:r>
      <w:r w:rsidR="001C2921">
        <w:t xml:space="preserve"> (na podstawie powyżej zamieszczonych aktualnych wykazów) z różnicami</w:t>
      </w:r>
      <w:r w:rsidR="00D208EB">
        <w:t xml:space="preserve"> wysokości</w:t>
      </w:r>
      <w:r w:rsidR="007B2A93">
        <w:t xml:space="preserve"> </w:t>
      </w:r>
      <w:r w:rsidR="001C2921">
        <w:t xml:space="preserve">między </w:t>
      </w:r>
      <w:r w:rsidR="007B2A93">
        <w:t>wybrany</w:t>
      </w:r>
      <w:r w:rsidR="001C2921">
        <w:t>mi</w:t>
      </w:r>
      <w:r w:rsidR="007B2A93">
        <w:t xml:space="preserve"> rzędny</w:t>
      </w:r>
      <w:r w:rsidR="001C2921">
        <w:t>mi</w:t>
      </w:r>
      <w:r w:rsidR="007B2A93">
        <w:t xml:space="preserve"> </w:t>
      </w:r>
      <w:r w:rsidR="001C2921">
        <w:t xml:space="preserve">zawartymi </w:t>
      </w:r>
      <w:r w:rsidR="0032343B">
        <w:br/>
      </w:r>
      <w:r w:rsidR="001C2921">
        <w:t xml:space="preserve">na aktualnej mapie zasadniczej (która najwyraźniej została już przeliczona do układu wysokościowego </w:t>
      </w:r>
      <w:r w:rsidR="0032343B">
        <w:br/>
      </w:r>
      <w:r w:rsidR="001C2921" w:rsidRPr="001C2921">
        <w:t>PL-EVRF2007-NH</w:t>
      </w:r>
      <w:r w:rsidR="001C2921">
        <w:t>) a odpowiadającymi im rzędnymi na mapie zasadniczej udostępnionej przez organ I instancji do realizacji przedmiotowej pracy geodezyjnej (</w:t>
      </w:r>
      <w:r w:rsidR="001C2921" w:rsidRPr="001C2921">
        <w:rPr>
          <w:b/>
        </w:rPr>
        <w:t>Załącznik nr 2</w:t>
      </w:r>
      <w:r w:rsidR="001C2921">
        <w:t xml:space="preserve"> do stanowiska). </w:t>
      </w:r>
      <w:r w:rsidR="007E5717">
        <w:t>Potwierdzać to może</w:t>
      </w:r>
      <w:r w:rsidR="001C2921">
        <w:t xml:space="preserve"> również</w:t>
      </w:r>
      <w:r w:rsidR="007E5717">
        <w:t xml:space="preserve"> fakt, że na żadnym stadium mocno wydłużanej, wieloetapowej weryfikacji</w:t>
      </w:r>
      <w:r w:rsidR="00D208EB">
        <w:t xml:space="preserve"> przedmiotowego operatu technicznego</w:t>
      </w:r>
      <w:r w:rsidR="007E5717">
        <w:t xml:space="preserve">, poprzedzającej wydanie decyzji przez Starostę Głogowskiego, ani w samej decyzji (a w zasadzie decyzjach), organ I instancji nie zaprzeczył temu faktowi. </w:t>
      </w:r>
      <w:r w:rsidR="00486D4C">
        <w:t>Wprawdzie do realizacji przedmiotowej pracy geodezyjnej wykonawca wykorzystał inne niż wyżej wymienione punkty osnowy geodezyjnej, które, zgodnie z instrukcjami pracowników starostwa, już we własnym zakresie, pozyskał za pośrednictwem portalu mapowego udostępnionego przez organ I instancji (same współrzędne, bez wykazów). Niemniej, z dużą dozą pewności można przypuszczać</w:t>
      </w:r>
      <w:r w:rsidR="00F62A7B">
        <w:t xml:space="preserve">, </w:t>
      </w:r>
      <w:r w:rsidR="0032343B">
        <w:br/>
      </w:r>
      <w:r w:rsidR="00F62A7B">
        <w:t>iż w co najmniej okresie realizacji przedmiotowej pracy geodezyjnej, wszystkie</w:t>
      </w:r>
      <w:r w:rsidR="00D208EB">
        <w:t xml:space="preserve"> (a przynajmniej większość)</w:t>
      </w:r>
      <w:r w:rsidR="00F62A7B">
        <w:t xml:space="preserve"> udostępniane przez organ I instancji punkty osnowy wysokościowej posiadały dane dot. ich rzędnych analogiczne do tych wykazanych po lewej stronie powyższego zestawienia. Potwierdzać to może</w:t>
      </w:r>
      <w:r w:rsidR="000144FE">
        <w:t>,</w:t>
      </w:r>
      <w:r w:rsidR="00F62A7B">
        <w:t xml:space="preserve"> zamieszczony poniżej</w:t>
      </w:r>
      <w:r w:rsidR="000144FE">
        <w:t>,</w:t>
      </w:r>
      <w:r w:rsidR="00F62A7B">
        <w:t xml:space="preserve"> wykaz punkt</w:t>
      </w:r>
      <w:r w:rsidR="000144FE">
        <w:t>u</w:t>
      </w:r>
      <w:r w:rsidR="00F62A7B">
        <w:t xml:space="preserve"> osnowy udostępniony przez </w:t>
      </w:r>
      <w:r w:rsidR="0032343B">
        <w:t>organ I instancji</w:t>
      </w:r>
      <w:r w:rsidR="00F62A7B">
        <w:t xml:space="preserve"> wykonawcy</w:t>
      </w:r>
      <w:r w:rsidR="000144FE">
        <w:t xml:space="preserve"> w ramach realizowanej </w:t>
      </w:r>
      <w:r w:rsidR="0032343B">
        <w:br/>
      </w:r>
      <w:r w:rsidR="000144FE">
        <w:t>przez niego w 201</w:t>
      </w:r>
      <w:r w:rsidR="00275F77">
        <w:t>6</w:t>
      </w:r>
      <w:r w:rsidR="000144FE">
        <w:t xml:space="preserve"> r. innej pracy geodezyjnej (Id pracy </w:t>
      </w:r>
      <w:r w:rsidR="00275F77" w:rsidRPr="00275F77">
        <w:t>PODGIK.6640.936.2016</w:t>
      </w:r>
      <w:r w:rsidR="000144FE">
        <w:t xml:space="preserve">) w zupełnie innym rejonie powiatu głogowskiego. </w:t>
      </w:r>
      <w:r w:rsidR="00275F77">
        <w:t xml:space="preserve">Warto zauważyć, że również przy tej pracy geodezyjnej organ I instancji na etapie weryfikacji operatu nie podważył informacji zawartej w sprawozdaniu technicznym określającej, że pomiar wysokościowy wykonany został w układzie </w:t>
      </w:r>
      <w:proofErr w:type="spellStart"/>
      <w:r w:rsidR="00275F77">
        <w:t>Kronsztadt</w:t>
      </w:r>
      <w:proofErr w:type="spellEnd"/>
      <w:r w:rsidR="00275F77">
        <w:t xml:space="preserve"> 86.</w:t>
      </w:r>
    </w:p>
    <w:tbl>
      <w:tblPr>
        <w:tblStyle w:val="Tabela-Siatka"/>
        <w:tblW w:w="10774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5218"/>
      </w:tblGrid>
      <w:tr w:rsidR="00EF09AB" w:rsidTr="0032343B">
        <w:tc>
          <w:tcPr>
            <w:tcW w:w="5556" w:type="dxa"/>
            <w:vAlign w:val="center"/>
          </w:tcPr>
          <w:p w:rsidR="00EF09AB" w:rsidRPr="00087B77" w:rsidRDefault="00EF09AB" w:rsidP="00EF09AB">
            <w:pPr>
              <w:spacing w:after="0"/>
              <w:jc w:val="center"/>
              <w:rPr>
                <w:b/>
              </w:rPr>
            </w:pPr>
            <w:r w:rsidRPr="00087B77">
              <w:rPr>
                <w:b/>
              </w:rPr>
              <w:lastRenderedPageBreak/>
              <w:t>Wykazy z dnia 28.06.2016</w:t>
            </w:r>
          </w:p>
        </w:tc>
        <w:tc>
          <w:tcPr>
            <w:tcW w:w="5218" w:type="dxa"/>
            <w:vAlign w:val="center"/>
          </w:tcPr>
          <w:p w:rsidR="00EF09AB" w:rsidRPr="00087B77" w:rsidRDefault="00EF09AB" w:rsidP="007B2A93">
            <w:pPr>
              <w:spacing w:after="0"/>
              <w:jc w:val="center"/>
              <w:rPr>
                <w:b/>
              </w:rPr>
            </w:pPr>
            <w:r w:rsidRPr="00087B77">
              <w:rPr>
                <w:b/>
              </w:rPr>
              <w:t>Wykazy z dnia 1</w:t>
            </w:r>
            <w:r w:rsidR="007B2A93" w:rsidRPr="00087B77">
              <w:rPr>
                <w:b/>
              </w:rPr>
              <w:t>4</w:t>
            </w:r>
            <w:r w:rsidRPr="00087B77">
              <w:rPr>
                <w:b/>
              </w:rPr>
              <w:t>.04.2021</w:t>
            </w:r>
          </w:p>
        </w:tc>
      </w:tr>
      <w:tr w:rsidR="007B2A93" w:rsidTr="0032343B">
        <w:tc>
          <w:tcPr>
            <w:tcW w:w="5556" w:type="dxa"/>
            <w:vAlign w:val="center"/>
          </w:tcPr>
          <w:p w:rsidR="00EF09AB" w:rsidRDefault="00EF09AB" w:rsidP="002745FA">
            <w:pPr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B605094" wp14:editId="79001E92">
                  <wp:extent cx="3317570" cy="1158240"/>
                  <wp:effectExtent l="19050" t="19050" r="16510" b="2286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477" cy="12241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8" w:type="dxa"/>
            <w:vAlign w:val="center"/>
          </w:tcPr>
          <w:p w:rsidR="00EF09AB" w:rsidRDefault="007B2A93" w:rsidP="002745FA">
            <w:pPr>
              <w:spacing w:after="0"/>
              <w:jc w:val="center"/>
            </w:pPr>
            <w:r w:rsidRPr="007B2A93">
              <w:rPr>
                <w:noProof/>
                <w:lang w:eastAsia="pl-PL"/>
              </w:rPr>
              <w:drawing>
                <wp:inline distT="0" distB="0" distL="0" distR="0" wp14:anchorId="524B9F2D" wp14:editId="3A265BA3">
                  <wp:extent cx="3159829" cy="1787237"/>
                  <wp:effectExtent l="0" t="0" r="2540" b="381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052" cy="1837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9AB" w:rsidRDefault="00903EB0" w:rsidP="00AB561B">
      <w:pPr>
        <w:spacing w:before="120"/>
        <w:ind w:firstLine="709"/>
        <w:jc w:val="both"/>
      </w:pPr>
      <w:r>
        <w:t xml:space="preserve">W myśl, wyżej przytoczonego, </w:t>
      </w:r>
      <w:r>
        <w:rPr>
          <w:rFonts w:cs="Calibri"/>
        </w:rPr>
        <w:t xml:space="preserve">§ </w:t>
      </w:r>
      <w:r>
        <w:t>6 ust. 1 Rozporządzenia o standardach, wykonawca prac geodezyjnych określając w jakim układzie współrzędnych płaskich oraz w jakim układzie wysokościowym wykonuje</w:t>
      </w:r>
      <w:r w:rsidR="008E14D3">
        <w:t xml:space="preserve"> pomiary terenowe w ramach zgłoszonej pracy geodezyjnej, bazować może jedynie na danych pozyskanych z PZGIK oraz na informacjach uzyskanych od organu SGIK obsługującego</w:t>
      </w:r>
      <w:r w:rsidR="00DA3320">
        <w:t xml:space="preserve"> zgłoszenie. Jednocześnie, wykonawca prac geodezyjnych nie może ponosić odpowiedzialności jeżeli udostępniane przez organ SGIK dane i/lub informacje</w:t>
      </w:r>
      <w:r w:rsidR="00AB561B">
        <w:t>,</w:t>
      </w:r>
      <w:r w:rsidR="00DA3320">
        <w:t xml:space="preserve"> są wadliwe lub niekompletne. </w:t>
      </w:r>
      <w:r w:rsidR="00E7023E">
        <w:t>Biorąc ww. okoliczności pod uwagę, niewątpliwym jest, że wykonawca realizując przedmiotową pracę geodezyjną dokonał wszelkich możliwych mu w owym czasie starań aby opracować wyniki pomiarów wysokościowych w odpowiednim układzie odniesienia, zgodnie z danymi i informacjami pozyskanymi od organu I instancji.</w:t>
      </w:r>
    </w:p>
    <w:p w:rsidR="00096E37" w:rsidRDefault="00096E37" w:rsidP="00191010">
      <w:pPr>
        <w:ind w:firstLine="709"/>
        <w:jc w:val="both"/>
      </w:pPr>
      <w:r>
        <w:t xml:space="preserve">Niewątpliwym jest, że DWINGIK dokonując, w ramach rozpatrzenia odwołania od decyzji organu </w:t>
      </w:r>
      <w:r w:rsidR="00BB40F7">
        <w:br/>
      </w:r>
      <w:r>
        <w:t>I instancji, ponownej</w:t>
      </w:r>
      <w:r w:rsidR="00D76DFD">
        <w:t xml:space="preserve"> weryfikacji operatu technicznego, winien zbadać sprawę w oparciu o okoliczności faktyczne i prawne aktualne na dzień zakończenia weryfikowanej pracy geodezyjnej (a więc na dzień pierwotnego przekazania wyników prac do weryfikacji). Niewątpliwym również jest, że realizując tę czynność</w:t>
      </w:r>
      <w:r w:rsidR="00C00B6D">
        <w:t xml:space="preserve">, zgodnie </w:t>
      </w:r>
      <w:r w:rsidR="00BB40F7">
        <w:br/>
      </w:r>
      <w:r w:rsidR="00C00B6D">
        <w:t xml:space="preserve">z art. 77 </w:t>
      </w:r>
      <w:r w:rsidR="00C00B6D">
        <w:rPr>
          <w:rFonts w:cs="Calibri"/>
        </w:rPr>
        <w:t>§ 1 k.p.a.,</w:t>
      </w:r>
      <w:r w:rsidR="00D76DFD">
        <w:t xml:space="preserve"> DWINGIK ma obowiązek</w:t>
      </w:r>
      <w:r w:rsidR="00C00B6D">
        <w:t xml:space="preserve"> w sposób wyczerpujący zebrać i rozpatrzyć cały materiał dowodowy. Warto w tym miejscu zwrócić uwagę na</w:t>
      </w:r>
      <w:r w:rsidR="00AB561B">
        <w:t>,</w:t>
      </w:r>
      <w:r w:rsidR="00C00B6D">
        <w:t xml:space="preserve"> zaznaczon</w:t>
      </w:r>
      <w:r w:rsidR="001908F1">
        <w:t xml:space="preserve">e czerwonym kolorem na powyżej zestawionych aktualnych wykazach punktów osnowy geodezyjnej (po prawej stronie), </w:t>
      </w:r>
      <w:r w:rsidR="00294B46">
        <w:t xml:space="preserve">informacje o </w:t>
      </w:r>
      <w:r w:rsidR="001908F1">
        <w:t>da</w:t>
      </w:r>
      <w:r w:rsidR="00294B46">
        <w:t>cie</w:t>
      </w:r>
      <w:r w:rsidR="001908F1">
        <w:t xml:space="preserve"> modyfikacji danych w nich zawartych. </w:t>
      </w:r>
      <w:r w:rsidR="00294B46">
        <w:t>Na podstawie tej informacji</w:t>
      </w:r>
      <w:r w:rsidR="0002332A">
        <w:t xml:space="preserve">, można przypuszczać, iż dane dot. wysokości punktów osnowy do których odwołuje się DWINGIK wprowadzone zostały dnia 24 listopada 2020 r., a więc ok. 8 miesięcy od zakończenia przedmiotowej pracy geodezyjnej. </w:t>
      </w:r>
      <w:r w:rsidR="005323EA">
        <w:t xml:space="preserve">Gdyby nawet taka aktualizacja danych osnowy geodezyjnej nastąpiła przed zakończeniem pracy geodezyjnej, to zgodnie z art. 9 k.p.a. organ I instancji miałby obowiązek poinformowania o tym wykonawcę z odpowiednim wyprzedzeniem. W przeciwnym wypadku, wykonawcę przy </w:t>
      </w:r>
      <w:r w:rsidR="00E303AA">
        <w:t>opracowaniu wyników pomiarów</w:t>
      </w:r>
      <w:r w:rsidR="005323EA">
        <w:t xml:space="preserve">, a organ SGIK przy </w:t>
      </w:r>
      <w:r w:rsidR="00E303AA">
        <w:t xml:space="preserve">ich </w:t>
      </w:r>
      <w:r w:rsidR="005323EA">
        <w:t>weryfikacji, wiążą dane i materiały pierwotnie udostępnione</w:t>
      </w:r>
      <w:r w:rsidR="00E303AA">
        <w:t xml:space="preserve"> </w:t>
      </w:r>
      <w:r w:rsidR="00BB40F7">
        <w:br/>
      </w:r>
      <w:r w:rsidR="00E303AA">
        <w:t xml:space="preserve">do realizacji pracy geodezyjnej. Gdyby DWINGIK podczas przedmiotowej weryfikacji w sposób należyty wykonał swoje obowiązki (opisane na początku tego akapitu), a więc (I) w sposób wyczerpujący zbadał całość akt sprawy </w:t>
      </w:r>
      <w:r w:rsidR="0029017C">
        <w:t>(</w:t>
      </w:r>
      <w:r w:rsidR="00E303AA">
        <w:t>przede wszystkim udostępnione przez organ I instancji wykazy punktów osnowy</w:t>
      </w:r>
      <w:r w:rsidR="0029017C">
        <w:t xml:space="preserve"> oraz korespondencję na linii wykonawca-PODGIK), oraz (II) zbadał sprawę w oparciu o okoliczności faktyczne aktualne na dzień zakończenia pracy, a nie na dzień przeprowadzenia przezeń weryfikacji, </w:t>
      </w:r>
      <w:r w:rsidR="005F4C64">
        <w:t>zapewne daleki byłby od twierdzeń motywujących analizowaną w tym punkcie nieprawidłowość.</w:t>
      </w:r>
    </w:p>
    <w:p w:rsidR="005F4C64" w:rsidRDefault="005F4C64" w:rsidP="00191010">
      <w:pPr>
        <w:ind w:firstLine="709"/>
        <w:jc w:val="both"/>
      </w:pPr>
      <w:r>
        <w:t>W związku z powyższym, należy stwierdzić, iż brak jest podstaw do odmowy przyjęcia przedmiotowej dokumentacji do PZGIK na podstawie przywołanej w punkcie II.2. protokołu weryfikacji informacji o zakresie nieprawidłowości.</w:t>
      </w:r>
    </w:p>
    <w:p w:rsidR="005F4C64" w:rsidRPr="00BB40F7" w:rsidRDefault="005F4C64" w:rsidP="005F4C64">
      <w:pPr>
        <w:rPr>
          <w:b/>
        </w:rPr>
      </w:pPr>
      <w:r w:rsidRPr="00BB40F7">
        <w:rPr>
          <w:b/>
        </w:rPr>
        <w:lastRenderedPageBreak/>
        <w:t>Ad. II.3.</w:t>
      </w:r>
    </w:p>
    <w:p w:rsidR="005F4C64" w:rsidRDefault="005F4C64" w:rsidP="00B3497A">
      <w:pPr>
        <w:spacing w:after="120"/>
        <w:ind w:firstLine="709"/>
        <w:jc w:val="both"/>
      </w:pPr>
      <w:r>
        <w:t xml:space="preserve">Przytoczoną nieprawidłowość należy uznać za bezzasadną. Zgodnie z </w:t>
      </w:r>
      <w:r>
        <w:rPr>
          <w:rFonts w:cs="Calibri"/>
        </w:rPr>
        <w:t>§ 3</w:t>
      </w:r>
      <w:r>
        <w:t xml:space="preserve">6 ust. 3 Rozporządzenia </w:t>
      </w:r>
      <w:r w:rsidR="00BB40F7">
        <w:br/>
      </w:r>
      <w:r>
        <w:t>o standardach:</w:t>
      </w:r>
    </w:p>
    <w:p w:rsidR="00E7023E" w:rsidRDefault="00E55F34" w:rsidP="00B3497A">
      <w:pPr>
        <w:spacing w:after="120"/>
        <w:ind w:left="1701" w:right="2693" w:firstLine="709"/>
        <w:jc w:val="both"/>
      </w:pPr>
      <w:r>
        <w:t>„</w:t>
      </w:r>
      <w:r w:rsidRPr="00E55F34">
        <w:rPr>
          <w:i/>
        </w:rPr>
        <w:t xml:space="preserve">Weryfikacji pomiaru wysokościowego dokonuje się poprzez dwukrotny pomiar wysokości </w:t>
      </w:r>
      <w:r w:rsidRPr="00E55F34">
        <w:rPr>
          <w:b/>
          <w:i/>
        </w:rPr>
        <w:t>wybranych punktów</w:t>
      </w:r>
      <w:r w:rsidRPr="00E55F34">
        <w:rPr>
          <w:i/>
        </w:rPr>
        <w:t>.</w:t>
      </w:r>
      <w:r>
        <w:t>”</w:t>
      </w:r>
    </w:p>
    <w:p w:rsidR="00A9124E" w:rsidRDefault="00020CDE" w:rsidP="00B3497A">
      <w:pPr>
        <w:spacing w:after="120"/>
        <w:ind w:firstLine="709"/>
        <w:jc w:val="both"/>
      </w:pPr>
      <w:r>
        <w:t>Wbrew</w:t>
      </w:r>
      <w:r w:rsidR="00E55F34">
        <w:t xml:space="preserve"> </w:t>
      </w:r>
      <w:r w:rsidR="00826BA6">
        <w:t>insynuacjom</w:t>
      </w:r>
      <w:r w:rsidR="00E55F34">
        <w:t xml:space="preserve"> DWINGIK</w:t>
      </w:r>
      <w:r w:rsidR="00AE7F4B">
        <w:t>, podczas wykonywania pomiarów terenowych wykonawca dokonał weryfikacji</w:t>
      </w:r>
      <w:r w:rsidR="00284E64">
        <w:t xml:space="preserve"> pomiaru wysokościowego szeregu punktów (chociażby pikiety nr: </w:t>
      </w:r>
      <w:r w:rsidR="00A76D74">
        <w:t>859, 860, 539, 538, 618, 617, 772 i in.)</w:t>
      </w:r>
      <w:r w:rsidR="00284E64">
        <w:t>, w tym przede wszystkim na kratkach ściekowych</w:t>
      </w:r>
      <w:r w:rsidR="00A76D74">
        <w:t xml:space="preserve">. Być może warto zwrócić uwagę na to, że </w:t>
      </w:r>
      <w:r w:rsidR="00A76D74">
        <w:rPr>
          <w:rFonts w:cs="Calibri"/>
        </w:rPr>
        <w:t>§ 3</w:t>
      </w:r>
      <w:r w:rsidR="00A76D74">
        <w:t>6 ust. 3 Rozporządzenia o standardach nie określa jakimi metodami</w:t>
      </w:r>
      <w:r w:rsidR="00776908">
        <w:t xml:space="preserve"> przedmiotowa weryfikacja pomiaru wysokościowego powinna być wykonywana, ani nie określa czy dwukrotny pomiar wysokości powinien </w:t>
      </w:r>
      <w:r w:rsidR="00AB561B">
        <w:br/>
      </w:r>
      <w:r w:rsidR="00776908">
        <w:t xml:space="preserve">być wykonany tą samą metodą czy też różnymi metodami, dając przy tym wykonawcy prac geodezyjnych swobodę przy wyborze dogodnej </w:t>
      </w:r>
      <w:r w:rsidR="00666B47">
        <w:t>metodyki</w:t>
      </w:r>
      <w:r w:rsidR="00776908">
        <w:t xml:space="preserve">. W ramach przedmiotowej pracy geodezyjnej wykonawca dokonał weryfikacji pomiaru wysokościowego </w:t>
      </w:r>
      <w:r w:rsidR="004C2197">
        <w:t xml:space="preserve">wykonując pomiar m.in. ww. punktów metodą (I) niwelacji geometrycznej oraz metodą (II) niwelacji satelitarnej, o których mowa odpowiednio w </w:t>
      </w:r>
      <w:r w:rsidR="004C2197">
        <w:rPr>
          <w:rFonts w:cs="Calibri"/>
        </w:rPr>
        <w:t>§ 2</w:t>
      </w:r>
      <w:r w:rsidR="004C2197">
        <w:t xml:space="preserve"> pkt 14 i 16 oraz w </w:t>
      </w:r>
      <w:r w:rsidR="004C2197">
        <w:rPr>
          <w:rFonts w:cs="Calibri"/>
        </w:rPr>
        <w:t>§ 37 pkt 1 i 3</w:t>
      </w:r>
      <w:r w:rsidR="004C2197">
        <w:t xml:space="preserve"> Rozporządzenia o standardach. </w:t>
      </w:r>
      <w:r w:rsidR="007E5729">
        <w:t xml:space="preserve">Różnice wysokości pomiędzy poszczególnymi parami pomiarów spełniły standardy o których mowa w </w:t>
      </w:r>
      <w:r w:rsidR="007E5729">
        <w:rPr>
          <w:rFonts w:cs="Calibri"/>
        </w:rPr>
        <w:t>§ 3</w:t>
      </w:r>
      <w:r w:rsidR="007E5729">
        <w:t>6 ust. 4 Rozporządzenia o standardach.</w:t>
      </w:r>
    </w:p>
    <w:p w:rsidR="005F4C64" w:rsidRDefault="00666B47" w:rsidP="00B3497A">
      <w:pPr>
        <w:spacing w:after="120"/>
        <w:ind w:firstLine="709"/>
        <w:jc w:val="both"/>
      </w:pPr>
      <w:r>
        <w:rPr>
          <w:rFonts w:cs="Calibri"/>
        </w:rPr>
        <w:t>§ 3</w:t>
      </w:r>
      <w:r>
        <w:t>6 ust. 3 Rozporządzenia o standardach nie określa również konkretnie jakie szczegóły terenowe winne być objęte weryfikacją pomiaru wysokościowego, natomiast zastosowane w tym przepisie określenie ‘</w:t>
      </w:r>
      <w:r w:rsidRPr="00666B47">
        <w:rPr>
          <w:i/>
        </w:rPr>
        <w:t>wybranych punktów</w:t>
      </w:r>
      <w:r>
        <w:t xml:space="preserve">’ daje wykonawcy prac geodezyjnych swobodę w ich doborze w zależności od </w:t>
      </w:r>
      <w:r w:rsidR="00A9124E">
        <w:t xml:space="preserve">np. przyjętej metodyki pomiaru czy warunków terenowych. Dlatego też zadziwiająca jest szczególna koncentracja uwagi DWINGIK na obiekcie kratki ściekowej. </w:t>
      </w:r>
      <w:r w:rsidR="007E5729">
        <w:t>Określenie ‘</w:t>
      </w:r>
      <w:r w:rsidR="007E5729" w:rsidRPr="00666B47">
        <w:rPr>
          <w:i/>
        </w:rPr>
        <w:t>wybranych punktów</w:t>
      </w:r>
      <w:r w:rsidR="007E5729">
        <w:t xml:space="preserve">’ pośrednio również określa minimalną </w:t>
      </w:r>
      <w:r w:rsidR="00211EE4">
        <w:t>liczbę</w:t>
      </w:r>
      <w:r w:rsidR="007E5729">
        <w:t xml:space="preserve"> punktów</w:t>
      </w:r>
      <w:r w:rsidR="00211EE4">
        <w:t xml:space="preserve"> jaka powinna być uwzględniona podczas weryfikacji pomiaru wysokościowego. Zastosowanie przez ustawodawcę liczby mnogiej rzeczownika ‘punkt’, wraz z brakiem określenia innej metody określenia </w:t>
      </w:r>
      <w:r w:rsidR="00AB561B">
        <w:br/>
      </w:r>
      <w:r w:rsidR="00211EE4">
        <w:t xml:space="preserve">tej wartości, wskazuje, że minimalną liczbą punktów, które w myśl </w:t>
      </w:r>
      <w:r w:rsidR="00211EE4">
        <w:rPr>
          <w:rFonts w:cs="Calibri"/>
        </w:rPr>
        <w:t>§ 3</w:t>
      </w:r>
      <w:r w:rsidR="00211EE4">
        <w:t xml:space="preserve">6 ust. 3 Rozporządzenia o standardach powinny zostać objęte weryfikacją, jest liczba 2. </w:t>
      </w:r>
      <w:r w:rsidR="0054774E">
        <w:t>W ramach przedmiotowej pracy geodezyjnej wykonawca dokonał weryfikacji pomiaru wysokościowego wielokrotnie większej ilości wybranych punktów, dlatego tym bardziej zdumiewające jest przytaczanie przez DWINGIK zarzutu o „</w:t>
      </w:r>
      <w:r w:rsidR="0054774E" w:rsidRPr="0054774E">
        <w:rPr>
          <w:i/>
        </w:rPr>
        <w:t>braku weryfikacji pomiaru wysokościowego elementów szczegółów terenowyc</w:t>
      </w:r>
      <w:r w:rsidR="0054774E">
        <w:t>h”.</w:t>
      </w:r>
    </w:p>
    <w:p w:rsidR="0054774E" w:rsidRDefault="00826BA6" w:rsidP="00B3497A">
      <w:pPr>
        <w:spacing w:after="120"/>
        <w:ind w:firstLine="709"/>
        <w:jc w:val="both"/>
      </w:pPr>
      <w:r>
        <w:t>W związku z powyższym, należy stwierdzić, iż brak jest podstaw do odmowy przyjęcia przedmiotowej dokumentacji do PZGIK na podstawie przywołanej w punkcie II.</w:t>
      </w:r>
      <w:r w:rsidR="006E3052">
        <w:t>3</w:t>
      </w:r>
      <w:r>
        <w:t>. protokołu weryfikacji informacji o zakresie nieprawidłowości.</w:t>
      </w:r>
    </w:p>
    <w:p w:rsidR="00826BA6" w:rsidRPr="00AB561B" w:rsidRDefault="00826BA6" w:rsidP="00B3497A">
      <w:pPr>
        <w:spacing w:after="120"/>
        <w:rPr>
          <w:b/>
        </w:rPr>
      </w:pPr>
      <w:r w:rsidRPr="00AB561B">
        <w:rPr>
          <w:b/>
        </w:rPr>
        <w:t>Ad. II.4.</w:t>
      </w:r>
    </w:p>
    <w:p w:rsidR="0037093D" w:rsidRDefault="00826BA6" w:rsidP="0037093D">
      <w:pPr>
        <w:ind w:firstLine="709"/>
        <w:jc w:val="both"/>
      </w:pPr>
      <w:r>
        <w:t xml:space="preserve">Przytoczoną nieprawidłowość należy uznać za bezzasadną. </w:t>
      </w:r>
      <w:r w:rsidR="006E3052">
        <w:t xml:space="preserve">DWINGIK formułując swoją argumentację </w:t>
      </w:r>
      <w:r w:rsidR="00B3497A">
        <w:br/>
      </w:r>
      <w:r w:rsidR="006E3052">
        <w:t>w punk</w:t>
      </w:r>
      <w:r w:rsidR="00030B8F">
        <w:t>cie II.4. protokołu weryfikacji</w:t>
      </w:r>
      <w:r w:rsidR="006E3052">
        <w:t xml:space="preserve"> </w:t>
      </w:r>
      <w:r w:rsidR="00030B8F">
        <w:t>(</w:t>
      </w:r>
      <w:r w:rsidR="006E3052">
        <w:t>podobnie jak w punkcie II.1.</w:t>
      </w:r>
      <w:r w:rsidR="00030B8F">
        <w:t xml:space="preserve">) </w:t>
      </w:r>
      <w:r w:rsidR="00606EE6">
        <w:t>pokazuje,</w:t>
      </w:r>
      <w:r w:rsidR="00030B8F">
        <w:t xml:space="preserve"> iż nie </w:t>
      </w:r>
      <w:r w:rsidR="00685BFB">
        <w:t>posiada</w:t>
      </w:r>
      <w:r w:rsidR="00DE17D9">
        <w:t xml:space="preserve"> żadnej</w:t>
      </w:r>
      <w:r w:rsidR="00685BFB">
        <w:t xml:space="preserve"> wiedzy</w:t>
      </w:r>
      <w:r w:rsidR="00030B8F">
        <w:t xml:space="preserve"> o tym czym jest pomiar kontrolny o którym mowa w </w:t>
      </w:r>
      <w:r w:rsidR="00030B8F">
        <w:rPr>
          <w:rFonts w:cs="Calibri"/>
        </w:rPr>
        <w:t>§ 12</w:t>
      </w:r>
      <w:r w:rsidR="00030B8F">
        <w:t xml:space="preserve"> Rozporządzenia o standardach, ani o tym w jakim celu się go wykonuje. Co więcej, DWINGIK zdaje się również nie rozumieć</w:t>
      </w:r>
      <w:r w:rsidR="00173659">
        <w:t xml:space="preserve"> czym jest ‘</w:t>
      </w:r>
      <w:r w:rsidR="00173659" w:rsidRPr="00173659">
        <w:rPr>
          <w:i/>
        </w:rPr>
        <w:t>powtarzalność</w:t>
      </w:r>
      <w:r w:rsidR="00173659">
        <w:t>’ (o której mowa na stronie WWW systemu ASG-EUPOS; bardziej ogólnie – ‘</w:t>
      </w:r>
      <w:r w:rsidR="00173659" w:rsidRPr="00173659">
        <w:rPr>
          <w:i/>
        </w:rPr>
        <w:t>precyzja</w:t>
      </w:r>
      <w:r w:rsidR="00173659">
        <w:t>’) a czym ‘</w:t>
      </w:r>
      <w:r w:rsidR="00173659" w:rsidRPr="00173659">
        <w:rPr>
          <w:i/>
        </w:rPr>
        <w:t>dokładność</w:t>
      </w:r>
      <w:r w:rsidR="00173659">
        <w:t>’ pomiarów, oraz czym te dwa pojęcia się od siebie różnią. Co jednak</w:t>
      </w:r>
      <w:r w:rsidR="00456342">
        <w:t xml:space="preserve"> najistotniejsze, DWINGIK </w:t>
      </w:r>
      <w:r w:rsidR="00982D72">
        <w:t>najwyraziściej</w:t>
      </w:r>
      <w:r w:rsidR="00456342">
        <w:t xml:space="preserve"> udowadnia</w:t>
      </w:r>
      <w:r w:rsidR="00685BFB">
        <w:t>,</w:t>
      </w:r>
      <w:r w:rsidR="00456342">
        <w:t xml:space="preserve"> iż nie ma bladego pojęcia o tym skąd bierze się wartość błędu pomiaru, od czego jest ona uzależniona oraz jaka jest</w:t>
      </w:r>
      <w:r w:rsidR="0037093D">
        <w:t xml:space="preserve"> zależność pomiędzy pomiarem kontrolnym, powtarzalnością pomiarów i dokładnością pomiaru (o ile istnieje). </w:t>
      </w:r>
    </w:p>
    <w:p w:rsidR="0037093D" w:rsidRPr="00005655" w:rsidRDefault="0037093D" w:rsidP="00005655">
      <w:pPr>
        <w:spacing w:after="120" w:line="269" w:lineRule="auto"/>
        <w:ind w:firstLine="709"/>
        <w:jc w:val="both"/>
        <w:rPr>
          <w:sz w:val="21"/>
          <w:szCs w:val="21"/>
        </w:rPr>
      </w:pPr>
      <w:r w:rsidRPr="00005655">
        <w:rPr>
          <w:sz w:val="21"/>
          <w:szCs w:val="21"/>
        </w:rPr>
        <w:lastRenderedPageBreak/>
        <w:t>Trudno jest się w ogóle odnieść do tak sformułowanego uzasadnienia stwierdzenia</w:t>
      </w:r>
      <w:r w:rsidR="00DE17D9" w:rsidRPr="00005655">
        <w:rPr>
          <w:sz w:val="21"/>
          <w:szCs w:val="21"/>
        </w:rPr>
        <w:t xml:space="preserve"> przez DWINGIK</w:t>
      </w:r>
      <w:r w:rsidRPr="00005655">
        <w:rPr>
          <w:sz w:val="21"/>
          <w:szCs w:val="21"/>
        </w:rPr>
        <w:t xml:space="preserve"> nieprawidłowości, ponieważ</w:t>
      </w:r>
      <w:r w:rsidR="00F75939" w:rsidRPr="00005655">
        <w:rPr>
          <w:sz w:val="21"/>
          <w:szCs w:val="21"/>
        </w:rPr>
        <w:t xml:space="preserve"> jego wadliwość już</w:t>
      </w:r>
      <w:r w:rsidR="006E74B8" w:rsidRPr="00005655">
        <w:rPr>
          <w:sz w:val="21"/>
          <w:szCs w:val="21"/>
        </w:rPr>
        <w:t xml:space="preserve"> nawet</w:t>
      </w:r>
      <w:r w:rsidR="00F75939" w:rsidRPr="00005655">
        <w:rPr>
          <w:sz w:val="21"/>
          <w:szCs w:val="21"/>
        </w:rPr>
        <w:t xml:space="preserve"> nie wynika z nieznajomości</w:t>
      </w:r>
      <w:r w:rsidR="005F0A6E" w:rsidRPr="00005655">
        <w:rPr>
          <w:sz w:val="21"/>
          <w:szCs w:val="21"/>
        </w:rPr>
        <w:t>,</w:t>
      </w:r>
      <w:r w:rsidR="00F75939" w:rsidRPr="00005655">
        <w:rPr>
          <w:sz w:val="21"/>
          <w:szCs w:val="21"/>
        </w:rPr>
        <w:t xml:space="preserve"> bądź braku zrozumienia</w:t>
      </w:r>
      <w:r w:rsidR="005F0A6E" w:rsidRPr="00005655">
        <w:rPr>
          <w:sz w:val="21"/>
          <w:szCs w:val="21"/>
        </w:rPr>
        <w:t>,</w:t>
      </w:r>
      <w:r w:rsidR="00F75939" w:rsidRPr="00005655">
        <w:rPr>
          <w:sz w:val="21"/>
          <w:szCs w:val="21"/>
        </w:rPr>
        <w:t xml:space="preserve"> przepisów prawa obowiązujących w dziedzinie geodezji i kartografii, lecz z głębokiego braku</w:t>
      </w:r>
      <w:r w:rsidR="008C5DAA" w:rsidRPr="00005655">
        <w:rPr>
          <w:sz w:val="21"/>
          <w:szCs w:val="21"/>
        </w:rPr>
        <w:t xml:space="preserve"> elementarnej</w:t>
      </w:r>
      <w:r w:rsidR="00F75939" w:rsidRPr="00005655">
        <w:rPr>
          <w:sz w:val="21"/>
          <w:szCs w:val="21"/>
        </w:rPr>
        <w:t xml:space="preserve"> wiedzy </w:t>
      </w:r>
      <w:r w:rsidR="00005655">
        <w:rPr>
          <w:sz w:val="21"/>
          <w:szCs w:val="21"/>
        </w:rPr>
        <w:br/>
      </w:r>
      <w:r w:rsidR="00F75939" w:rsidRPr="00005655">
        <w:rPr>
          <w:sz w:val="21"/>
          <w:szCs w:val="21"/>
        </w:rPr>
        <w:t>(lub jej zrozumienia)</w:t>
      </w:r>
      <w:r w:rsidR="006E74B8" w:rsidRPr="00005655">
        <w:rPr>
          <w:sz w:val="21"/>
          <w:szCs w:val="21"/>
        </w:rPr>
        <w:t xml:space="preserve"> nie tylko z dziedziny geodezji, lecz również</w:t>
      </w:r>
      <w:r w:rsidR="008C5DAA" w:rsidRPr="00005655">
        <w:rPr>
          <w:sz w:val="21"/>
          <w:szCs w:val="21"/>
        </w:rPr>
        <w:t xml:space="preserve"> statystyki,</w:t>
      </w:r>
      <w:r w:rsidR="006E74B8" w:rsidRPr="00005655">
        <w:rPr>
          <w:sz w:val="21"/>
          <w:szCs w:val="21"/>
        </w:rPr>
        <w:t xml:space="preserve"> logiki czy matematyki. Kolejną istotną wadą</w:t>
      </w:r>
      <w:r w:rsidR="005F0A6E" w:rsidRPr="00005655">
        <w:rPr>
          <w:sz w:val="21"/>
          <w:szCs w:val="21"/>
        </w:rPr>
        <w:t xml:space="preserve"> tego uzasadnienia (o ile nie najistotniejszą) jest zupełny brak sformułowania problemu</w:t>
      </w:r>
      <w:r w:rsidR="00037C1C" w:rsidRPr="00005655">
        <w:rPr>
          <w:sz w:val="21"/>
          <w:szCs w:val="21"/>
        </w:rPr>
        <w:t>, który mógłby</w:t>
      </w:r>
      <w:r w:rsidR="00164B80" w:rsidRPr="00005655">
        <w:rPr>
          <w:sz w:val="21"/>
          <w:szCs w:val="21"/>
        </w:rPr>
        <w:t xml:space="preserve"> być przedmiotem merytorycznej dyskusji</w:t>
      </w:r>
      <w:r w:rsidR="005F0A6E" w:rsidRPr="00005655">
        <w:rPr>
          <w:sz w:val="21"/>
          <w:szCs w:val="21"/>
        </w:rPr>
        <w:t>. DWINGIK</w:t>
      </w:r>
      <w:r w:rsidR="00037C1C" w:rsidRPr="00005655">
        <w:rPr>
          <w:sz w:val="21"/>
          <w:szCs w:val="21"/>
        </w:rPr>
        <w:t>, po sformułowaniu tezy, najpierw przytacza cztery wartości trzech różnych zmiennych</w:t>
      </w:r>
      <w:r w:rsidR="00164B80" w:rsidRPr="00005655">
        <w:rPr>
          <w:sz w:val="21"/>
          <w:szCs w:val="21"/>
        </w:rPr>
        <w:t xml:space="preserve">, po czym - w ogóle nie określając co z tych wartości wynika, jaka jest między nimi zależność, </w:t>
      </w:r>
      <w:r w:rsidR="00005655">
        <w:rPr>
          <w:sz w:val="21"/>
          <w:szCs w:val="21"/>
        </w:rPr>
        <w:br/>
      </w:r>
      <w:r w:rsidR="00164B80" w:rsidRPr="00005655">
        <w:rPr>
          <w:sz w:val="21"/>
          <w:szCs w:val="21"/>
        </w:rPr>
        <w:t>a jeżeli taka zależność istnieje, to co z niej wynika</w:t>
      </w:r>
      <w:r w:rsidR="008C5DAA" w:rsidRPr="00005655">
        <w:rPr>
          <w:sz w:val="21"/>
          <w:szCs w:val="21"/>
        </w:rPr>
        <w:t xml:space="preserve"> i skąd się w ogóle wzięły</w:t>
      </w:r>
      <w:r w:rsidR="00164B80" w:rsidRPr="00005655">
        <w:rPr>
          <w:sz w:val="21"/>
          <w:szCs w:val="21"/>
        </w:rPr>
        <w:t xml:space="preserve"> – nagle stwierdza</w:t>
      </w:r>
      <w:r w:rsidR="00CF395E" w:rsidRPr="00005655">
        <w:rPr>
          <w:sz w:val="21"/>
          <w:szCs w:val="21"/>
        </w:rPr>
        <w:t xml:space="preserve">, </w:t>
      </w:r>
      <w:r w:rsidR="00B3497A" w:rsidRPr="00005655">
        <w:rPr>
          <w:sz w:val="21"/>
          <w:szCs w:val="21"/>
        </w:rPr>
        <w:br/>
      </w:r>
      <w:r w:rsidR="00CF395E" w:rsidRPr="00005655">
        <w:rPr>
          <w:sz w:val="21"/>
          <w:szCs w:val="21"/>
        </w:rPr>
        <w:t>że metoda pomiaru zastosowana przez wykonawcę jest niewystarczająco dokładna, nawet bez podania żadnej wartości dokładności</w:t>
      </w:r>
      <w:r w:rsidR="004A519F" w:rsidRPr="00005655">
        <w:rPr>
          <w:sz w:val="21"/>
          <w:szCs w:val="21"/>
        </w:rPr>
        <w:t xml:space="preserve"> pomiaru</w:t>
      </w:r>
      <w:r w:rsidR="00CF395E" w:rsidRPr="00005655">
        <w:rPr>
          <w:sz w:val="21"/>
          <w:szCs w:val="21"/>
        </w:rPr>
        <w:t xml:space="preserve"> jaką wg jego oceny osiągnięto. Można by rzec – uzasadnienie bez uzasadnienia.</w:t>
      </w:r>
    </w:p>
    <w:p w:rsidR="000D34F6" w:rsidRPr="00005655" w:rsidRDefault="00CF395E" w:rsidP="00005655">
      <w:pPr>
        <w:spacing w:after="120" w:line="269" w:lineRule="auto"/>
        <w:ind w:firstLine="709"/>
        <w:jc w:val="both"/>
        <w:rPr>
          <w:sz w:val="21"/>
          <w:szCs w:val="21"/>
        </w:rPr>
      </w:pPr>
      <w:r w:rsidRPr="00005655">
        <w:rPr>
          <w:sz w:val="21"/>
          <w:szCs w:val="21"/>
        </w:rPr>
        <w:t>Warto by tu może przywołać</w:t>
      </w:r>
      <w:r w:rsidR="000D34F6" w:rsidRPr="00005655">
        <w:rPr>
          <w:sz w:val="21"/>
          <w:szCs w:val="21"/>
        </w:rPr>
        <w:t>, dobrze zresztą znany DWINGIK, wyrok Wojewódzkiego Sądu Administracyjnego we Wrocławiu (sygn. akt. II SA/</w:t>
      </w:r>
      <w:proofErr w:type="spellStart"/>
      <w:r w:rsidR="000D34F6" w:rsidRPr="00005655">
        <w:rPr>
          <w:sz w:val="21"/>
          <w:szCs w:val="21"/>
        </w:rPr>
        <w:t>Wr</w:t>
      </w:r>
      <w:proofErr w:type="spellEnd"/>
      <w:r w:rsidR="000D34F6" w:rsidRPr="00005655">
        <w:rPr>
          <w:sz w:val="21"/>
          <w:szCs w:val="21"/>
        </w:rPr>
        <w:t xml:space="preserve"> 504/15), który m.in. stwierdza, że:</w:t>
      </w:r>
    </w:p>
    <w:p w:rsidR="00CF395E" w:rsidRPr="00005655" w:rsidRDefault="000D34F6" w:rsidP="00005655">
      <w:pPr>
        <w:spacing w:after="120" w:line="269" w:lineRule="auto"/>
        <w:ind w:left="1276" w:right="1134" w:firstLine="709"/>
        <w:jc w:val="both"/>
        <w:rPr>
          <w:sz w:val="21"/>
          <w:szCs w:val="21"/>
        </w:rPr>
      </w:pPr>
      <w:r w:rsidRPr="00005655">
        <w:rPr>
          <w:sz w:val="21"/>
          <w:szCs w:val="21"/>
        </w:rPr>
        <w:t xml:space="preserve"> „</w:t>
      </w:r>
      <w:r w:rsidRPr="00005655">
        <w:rPr>
          <w:i/>
          <w:sz w:val="21"/>
          <w:szCs w:val="21"/>
        </w:rPr>
        <w:t>informacja o zakresie nieprawidłowości winna być przedstawiona w sposób jasny, czytelny i zrozumiały, a przede wszystkim zawierać konkretne przyczyny uzasadniające zwrot dokumentacji, umożliwiając wykonawcy rzeczowe i konkretne ustosunkowanie się do przedstawionych zarzutów i ewentualnie służyć do stworzenia mu warunków do usunięcia nieprawidłowości. Jest to tym bardziej istotne, że protokół ten jest główną i przesądzającą podstawą późniejszych decyzji administracyjnych</w:t>
      </w:r>
      <w:r w:rsidRPr="00005655">
        <w:rPr>
          <w:sz w:val="21"/>
          <w:szCs w:val="21"/>
        </w:rPr>
        <w:t>”</w:t>
      </w:r>
    </w:p>
    <w:p w:rsidR="00826BA6" w:rsidRPr="00005655" w:rsidRDefault="000D34F6" w:rsidP="00005655">
      <w:pPr>
        <w:spacing w:after="120" w:line="269" w:lineRule="auto"/>
        <w:ind w:firstLine="709"/>
        <w:jc w:val="both"/>
        <w:rPr>
          <w:sz w:val="21"/>
          <w:szCs w:val="21"/>
        </w:rPr>
      </w:pPr>
      <w:r w:rsidRPr="00005655">
        <w:rPr>
          <w:sz w:val="21"/>
          <w:szCs w:val="21"/>
        </w:rPr>
        <w:t>Poza przytoczeniem kilku rzekomo naruszonych przepisów prawa, trudno jest się doszukiwać w podanej przez DWINGIK</w:t>
      </w:r>
      <w:r w:rsidR="00005655" w:rsidRPr="00005655">
        <w:rPr>
          <w:sz w:val="21"/>
          <w:szCs w:val="21"/>
        </w:rPr>
        <w:t>,</w:t>
      </w:r>
      <w:r w:rsidR="008F13A9" w:rsidRPr="00005655">
        <w:rPr>
          <w:sz w:val="21"/>
          <w:szCs w:val="21"/>
        </w:rPr>
        <w:t xml:space="preserve"> w punkcie II.4. protokołu weryfikacji,</w:t>
      </w:r>
      <w:r w:rsidRPr="00005655">
        <w:rPr>
          <w:sz w:val="21"/>
          <w:szCs w:val="21"/>
        </w:rPr>
        <w:t xml:space="preserve"> informacji o zakresie nieprawidłowości</w:t>
      </w:r>
      <w:r w:rsidR="008F13A9" w:rsidRPr="00005655">
        <w:rPr>
          <w:sz w:val="21"/>
          <w:szCs w:val="21"/>
        </w:rPr>
        <w:t xml:space="preserve"> jakichkolwiek cech lub elementów wymienionych w wyżej przytoczonym wyroku.</w:t>
      </w:r>
    </w:p>
    <w:p w:rsidR="008F13A9" w:rsidRPr="00005655" w:rsidRDefault="008F13A9" w:rsidP="00005655">
      <w:pPr>
        <w:spacing w:after="120" w:line="269" w:lineRule="auto"/>
        <w:ind w:firstLine="709"/>
        <w:jc w:val="both"/>
        <w:rPr>
          <w:sz w:val="21"/>
          <w:szCs w:val="21"/>
        </w:rPr>
      </w:pPr>
      <w:r w:rsidRPr="00005655">
        <w:rPr>
          <w:sz w:val="21"/>
          <w:szCs w:val="21"/>
        </w:rPr>
        <w:t>Niezależnie od powyższego, choćby dla celów edukacyjnych, być może warto by przyjrzeć się bliżej przytoczonym przez DWINGIK</w:t>
      </w:r>
      <w:r w:rsidR="00982D72" w:rsidRPr="00005655">
        <w:rPr>
          <w:sz w:val="21"/>
          <w:szCs w:val="21"/>
        </w:rPr>
        <w:t xml:space="preserve"> w</w:t>
      </w:r>
      <w:r w:rsidRPr="00005655">
        <w:rPr>
          <w:sz w:val="21"/>
          <w:szCs w:val="21"/>
        </w:rPr>
        <w:t xml:space="preserve"> informacji o zakresie nieprawidłowości pojęciom, i spróbować odpowiedzieć </w:t>
      </w:r>
      <w:r w:rsidR="00005655">
        <w:rPr>
          <w:sz w:val="21"/>
          <w:szCs w:val="21"/>
        </w:rPr>
        <w:br/>
      </w:r>
      <w:r w:rsidRPr="00005655">
        <w:rPr>
          <w:sz w:val="21"/>
          <w:szCs w:val="21"/>
        </w:rPr>
        <w:t>na pytanie - jakie mają one znaczenie w kontekście</w:t>
      </w:r>
      <w:r w:rsidR="00E530D2" w:rsidRPr="00005655">
        <w:rPr>
          <w:sz w:val="21"/>
          <w:szCs w:val="21"/>
        </w:rPr>
        <w:t xml:space="preserve"> sformułowanej przezeń </w:t>
      </w:r>
      <w:r w:rsidR="0037481A" w:rsidRPr="00005655">
        <w:rPr>
          <w:sz w:val="21"/>
          <w:szCs w:val="21"/>
        </w:rPr>
        <w:t xml:space="preserve">tezy </w:t>
      </w:r>
      <w:r w:rsidR="00E530D2" w:rsidRPr="00005655">
        <w:rPr>
          <w:sz w:val="21"/>
          <w:szCs w:val="21"/>
        </w:rPr>
        <w:t xml:space="preserve">i wysuniętych </w:t>
      </w:r>
      <w:r w:rsidR="00761B82" w:rsidRPr="00005655">
        <w:rPr>
          <w:sz w:val="21"/>
          <w:szCs w:val="21"/>
        </w:rPr>
        <w:t>„wniosków”.</w:t>
      </w:r>
    </w:p>
    <w:p w:rsidR="00250AE8" w:rsidRPr="00005655" w:rsidRDefault="00B152B9" w:rsidP="00005655">
      <w:pPr>
        <w:spacing w:after="120" w:line="269" w:lineRule="auto"/>
        <w:ind w:firstLine="709"/>
        <w:jc w:val="both"/>
        <w:rPr>
          <w:sz w:val="21"/>
          <w:szCs w:val="21"/>
        </w:rPr>
      </w:pPr>
      <w:r w:rsidRPr="00005655">
        <w:rPr>
          <w:sz w:val="21"/>
          <w:szCs w:val="21"/>
        </w:rPr>
        <w:t xml:space="preserve">Zgodnie z </w:t>
      </w:r>
      <w:r w:rsidR="00250AE8" w:rsidRPr="00005655">
        <w:rPr>
          <w:rFonts w:cs="Calibri"/>
          <w:sz w:val="21"/>
          <w:szCs w:val="21"/>
        </w:rPr>
        <w:t>§ 2</w:t>
      </w:r>
      <w:r w:rsidR="00250AE8" w:rsidRPr="00005655">
        <w:rPr>
          <w:sz w:val="21"/>
          <w:szCs w:val="21"/>
        </w:rPr>
        <w:t xml:space="preserve"> pkt 4 Rozporządzenia o standardach:</w:t>
      </w:r>
    </w:p>
    <w:p w:rsidR="00761B82" w:rsidRPr="00005655" w:rsidRDefault="00250AE8" w:rsidP="00005655">
      <w:pPr>
        <w:spacing w:after="120" w:line="269" w:lineRule="auto"/>
        <w:ind w:left="1843" w:right="1985" w:firstLine="709"/>
        <w:jc w:val="both"/>
        <w:rPr>
          <w:sz w:val="21"/>
          <w:szCs w:val="21"/>
        </w:rPr>
      </w:pPr>
      <w:r w:rsidRPr="00005655">
        <w:rPr>
          <w:sz w:val="21"/>
          <w:szCs w:val="21"/>
        </w:rPr>
        <w:t xml:space="preserve">przez </w:t>
      </w:r>
      <w:r w:rsidRPr="00005655">
        <w:rPr>
          <w:b/>
          <w:sz w:val="21"/>
          <w:szCs w:val="21"/>
        </w:rPr>
        <w:t>błąd średni pomiaru</w:t>
      </w:r>
      <w:r w:rsidRPr="00005655">
        <w:rPr>
          <w:sz w:val="21"/>
          <w:szCs w:val="21"/>
        </w:rPr>
        <w:t xml:space="preserve"> „</w:t>
      </w:r>
      <w:r w:rsidRPr="00005655">
        <w:rPr>
          <w:i/>
          <w:sz w:val="21"/>
          <w:szCs w:val="21"/>
        </w:rPr>
        <w:t>rozumie się</w:t>
      </w:r>
      <w:r w:rsidRPr="00005655">
        <w:rPr>
          <w:sz w:val="21"/>
          <w:szCs w:val="21"/>
        </w:rPr>
        <w:t xml:space="preserve"> […] </w:t>
      </w:r>
      <w:r w:rsidRPr="00005655">
        <w:rPr>
          <w:i/>
          <w:sz w:val="21"/>
          <w:szCs w:val="21"/>
        </w:rPr>
        <w:t xml:space="preserve">miarę </w:t>
      </w:r>
      <w:r w:rsidRPr="00005655">
        <w:rPr>
          <w:b/>
          <w:i/>
          <w:sz w:val="21"/>
          <w:szCs w:val="21"/>
        </w:rPr>
        <w:t>dokładności wyniku pomiaru</w:t>
      </w:r>
      <w:r w:rsidRPr="00005655">
        <w:rPr>
          <w:i/>
          <w:sz w:val="21"/>
          <w:szCs w:val="21"/>
        </w:rPr>
        <w:t>, przy założeniu normalnego rozkładu błędów obserwacji – o prawdopodobieństwie nie mniejszym niż 0,68</w:t>
      </w:r>
      <w:r w:rsidRPr="00005655">
        <w:rPr>
          <w:sz w:val="21"/>
          <w:szCs w:val="21"/>
        </w:rPr>
        <w:t>”</w:t>
      </w:r>
    </w:p>
    <w:p w:rsidR="00250AE8" w:rsidRPr="00005655" w:rsidRDefault="00011CC0" w:rsidP="00005655">
      <w:pPr>
        <w:spacing w:line="269" w:lineRule="auto"/>
        <w:ind w:firstLine="709"/>
        <w:jc w:val="both"/>
        <w:rPr>
          <w:sz w:val="21"/>
          <w:szCs w:val="21"/>
        </w:rPr>
      </w:pPr>
      <w:r w:rsidRPr="00005655">
        <w:rPr>
          <w:sz w:val="21"/>
          <w:szCs w:val="21"/>
        </w:rPr>
        <w:t>Pomijając kwestie statystyczne oraz nawet</w:t>
      </w:r>
      <w:r w:rsidR="005963ED" w:rsidRPr="00005655">
        <w:rPr>
          <w:sz w:val="21"/>
          <w:szCs w:val="21"/>
        </w:rPr>
        <w:t xml:space="preserve"> nie zagłębiając się specjalnie w teorię błędów pomiarów</w:t>
      </w:r>
      <w:r w:rsidR="008C5DAA" w:rsidRPr="00005655">
        <w:rPr>
          <w:sz w:val="21"/>
          <w:szCs w:val="21"/>
        </w:rPr>
        <w:t xml:space="preserve">, </w:t>
      </w:r>
      <w:r w:rsidR="00005655">
        <w:rPr>
          <w:sz w:val="21"/>
          <w:szCs w:val="21"/>
        </w:rPr>
        <w:br/>
      </w:r>
      <w:r w:rsidR="008C5DAA" w:rsidRPr="00005655">
        <w:rPr>
          <w:sz w:val="21"/>
          <w:szCs w:val="21"/>
        </w:rPr>
        <w:t>już na podstawie powyższej krótkiej definicji</w:t>
      </w:r>
      <w:r w:rsidR="004A519F" w:rsidRPr="00005655">
        <w:rPr>
          <w:sz w:val="21"/>
          <w:szCs w:val="21"/>
        </w:rPr>
        <w:t>, można</w:t>
      </w:r>
      <w:r w:rsidR="00FC704C" w:rsidRPr="00005655">
        <w:rPr>
          <w:sz w:val="21"/>
          <w:szCs w:val="21"/>
        </w:rPr>
        <w:t xml:space="preserve"> łatwo odgadnąć, że błąd średni pomiaru (czy też dokładność pomiaru) jest bezpośrednio związana z obserwacjami i ich błędami. Nie powinno być to zresztą zaskoczeniem </w:t>
      </w:r>
      <w:r w:rsidR="00005655">
        <w:rPr>
          <w:sz w:val="21"/>
          <w:szCs w:val="21"/>
        </w:rPr>
        <w:br/>
      </w:r>
      <w:r w:rsidR="00FC704C" w:rsidRPr="00005655">
        <w:rPr>
          <w:sz w:val="21"/>
          <w:szCs w:val="21"/>
        </w:rPr>
        <w:t>dla osób, które choć raz w życiu obliczały wyrównanie ścisłe</w:t>
      </w:r>
      <w:r w:rsidR="00F12678" w:rsidRPr="00005655">
        <w:rPr>
          <w:sz w:val="21"/>
          <w:szCs w:val="21"/>
        </w:rPr>
        <w:t xml:space="preserve"> czy też nawet zwykły ciąg niwelacyjny. </w:t>
      </w:r>
      <w:r w:rsidR="00D2225F" w:rsidRPr="00005655">
        <w:rPr>
          <w:sz w:val="21"/>
          <w:szCs w:val="21"/>
        </w:rPr>
        <w:t xml:space="preserve">Wartość błędu średniego pomiaru jest zatem określana przede wszystkim na podstawie obserwacji oraz wartości ich błędów. </w:t>
      </w:r>
      <w:r w:rsidR="00005655">
        <w:rPr>
          <w:sz w:val="21"/>
          <w:szCs w:val="21"/>
        </w:rPr>
        <w:br/>
      </w:r>
      <w:r w:rsidR="00D2225F" w:rsidRPr="00005655">
        <w:rPr>
          <w:sz w:val="21"/>
          <w:szCs w:val="21"/>
        </w:rPr>
        <w:t>Inn</w:t>
      </w:r>
      <w:r w:rsidR="00DE17D9" w:rsidRPr="00005655">
        <w:rPr>
          <w:sz w:val="21"/>
          <w:szCs w:val="21"/>
        </w:rPr>
        <w:t>ą</w:t>
      </w:r>
      <w:r w:rsidR="00D2225F" w:rsidRPr="00005655">
        <w:rPr>
          <w:sz w:val="21"/>
          <w:szCs w:val="21"/>
        </w:rPr>
        <w:t xml:space="preserve"> zmienną, która może mieć wpływ na wartość błędu średniego pomiaru jest błąd średni położenia punktu odniesienia (o ile jest znany)</w:t>
      </w:r>
      <w:r w:rsidR="0086631D" w:rsidRPr="00005655">
        <w:rPr>
          <w:sz w:val="21"/>
          <w:szCs w:val="21"/>
        </w:rPr>
        <w:t xml:space="preserve">. Ma to </w:t>
      </w:r>
      <w:r w:rsidR="00D2225F" w:rsidRPr="00005655">
        <w:rPr>
          <w:sz w:val="21"/>
          <w:szCs w:val="21"/>
        </w:rPr>
        <w:t>zresztą logiczne wytłumaczenie, ponieważ</w:t>
      </w:r>
      <w:r w:rsidR="0086631D" w:rsidRPr="00005655">
        <w:rPr>
          <w:sz w:val="21"/>
          <w:szCs w:val="21"/>
        </w:rPr>
        <w:t>,</w:t>
      </w:r>
      <w:r w:rsidR="00D2225F" w:rsidRPr="00005655">
        <w:rPr>
          <w:sz w:val="21"/>
          <w:szCs w:val="21"/>
        </w:rPr>
        <w:t xml:space="preserve"> tak jak w przypadku obserwacji</w:t>
      </w:r>
      <w:r w:rsidR="0086631D" w:rsidRPr="00005655">
        <w:rPr>
          <w:sz w:val="21"/>
          <w:szCs w:val="21"/>
        </w:rPr>
        <w:t xml:space="preserve">, współrzędne i/lub wysokości punktów odniesienia służą do matematycznego wyznaczenia współrzędnych mierzonych szczegółów terenowych, a więc błędy zarówno obserwacji jak i błędy średnie położenia punktów odniesienia mają bezpośredni wpływ na dokładność wyznaczenia współrzędnych tych szczegółów. </w:t>
      </w:r>
      <w:r w:rsidR="00747C18" w:rsidRPr="00005655">
        <w:rPr>
          <w:sz w:val="21"/>
          <w:szCs w:val="21"/>
        </w:rPr>
        <w:t xml:space="preserve">Zgodnie z </w:t>
      </w:r>
      <w:r w:rsidR="00747C18" w:rsidRPr="00005655">
        <w:rPr>
          <w:rFonts w:cs="Calibri"/>
          <w:sz w:val="21"/>
          <w:szCs w:val="21"/>
        </w:rPr>
        <w:t>§ 2</w:t>
      </w:r>
      <w:r w:rsidR="00747C18" w:rsidRPr="00005655">
        <w:rPr>
          <w:sz w:val="21"/>
          <w:szCs w:val="21"/>
        </w:rPr>
        <w:t xml:space="preserve"> pkt 6 Rozporządzenia </w:t>
      </w:r>
      <w:r w:rsidR="00005655">
        <w:rPr>
          <w:sz w:val="21"/>
          <w:szCs w:val="21"/>
        </w:rPr>
        <w:br/>
      </w:r>
      <w:r w:rsidR="00747C18" w:rsidRPr="00005655">
        <w:rPr>
          <w:sz w:val="21"/>
          <w:szCs w:val="21"/>
        </w:rPr>
        <w:t>o standardach, w przypadku wykonywania pomiarów sytuacyjnych i wysokościowych z wykorzystaniem techniki kinematycznej RTN, tymi danymi obserwacyjnymi są przestrzenne wektory</w:t>
      </w:r>
      <w:r w:rsidR="00906FD7" w:rsidRPr="00005655">
        <w:rPr>
          <w:sz w:val="21"/>
          <w:szCs w:val="21"/>
        </w:rPr>
        <w:t xml:space="preserve">, których parametry dokładnościowe wyznaczane są w czasie rzeczywistym na podstawie szeregu zmiennych pochodzących z systemów satelitarnych oraz wykorzystywanego systemu stacji referencyjnych. </w:t>
      </w:r>
      <w:r w:rsidR="00982D72" w:rsidRPr="00005655">
        <w:rPr>
          <w:sz w:val="21"/>
          <w:szCs w:val="21"/>
        </w:rPr>
        <w:t xml:space="preserve">Przy wykonywaniu pomiarów tą techniką, wartości błędów średnich pomiarów wyznaczane są niezależnie dla każdego punktu pomiarowego, a ich wielkość uzależniona jest </w:t>
      </w:r>
      <w:r w:rsidR="00005655">
        <w:rPr>
          <w:sz w:val="21"/>
          <w:szCs w:val="21"/>
        </w:rPr>
        <w:br/>
      </w:r>
      <w:r w:rsidR="00982D72" w:rsidRPr="00005655">
        <w:rPr>
          <w:sz w:val="21"/>
          <w:szCs w:val="21"/>
        </w:rPr>
        <w:t>od warunków pomiarowych panujących w momencie pomiaru.</w:t>
      </w:r>
    </w:p>
    <w:p w:rsidR="00F91C8F" w:rsidRDefault="00F91C8F" w:rsidP="00250AE8">
      <w:pPr>
        <w:ind w:firstLine="709"/>
        <w:jc w:val="both"/>
      </w:pPr>
    </w:p>
    <w:p w:rsidR="0086631D" w:rsidRDefault="00602EA3" w:rsidP="00250AE8">
      <w:pPr>
        <w:ind w:firstLine="709"/>
        <w:jc w:val="both"/>
      </w:pPr>
      <w:r>
        <w:t xml:space="preserve">Biorąc pod uwagę fakt, że powyższą elementarną wiedzę na temat średniego błędu pomiaru uzyskać można zapoznając się z zaledwie kilkoma przepisami Rozporządzenia o standardach, wielce zatrważające jest, </w:t>
      </w:r>
      <w:r w:rsidR="00005655">
        <w:br/>
      </w:r>
      <w:r>
        <w:t xml:space="preserve">że organ SGIK, którego rolą jest m.in. </w:t>
      </w:r>
      <w:r w:rsidR="00826763">
        <w:t xml:space="preserve">kontrola przestrzegania i stosowania przepisów ustawy GIK a przy tym </w:t>
      </w:r>
      <w:r>
        <w:t>rozstrzyganie merytorycznych sporów</w:t>
      </w:r>
      <w:r w:rsidR="00826763">
        <w:t xml:space="preserve"> interpretacyjnych w tym zakresie, podczas rutynowej kontroli poprawności wykonania </w:t>
      </w:r>
      <w:r w:rsidR="000315FA">
        <w:t>pomiaru metodą GNSS, nie potrafi właściwie ocenić z jaką dokładnością</w:t>
      </w:r>
      <w:r w:rsidR="00976D6A">
        <w:t xml:space="preserve"> określone zostały wyniki tych pomiarów, pomimo że informację tę, bez przeprowadzania jakiejkolwiek analizy</w:t>
      </w:r>
      <w:r w:rsidR="00F91C8F">
        <w:t>,</w:t>
      </w:r>
      <w:r w:rsidR="00976D6A">
        <w:t xml:space="preserve"> można wprost wyczytać z weryfikowanej dokumentacji. Przy tym</w:t>
      </w:r>
      <w:r w:rsidR="004C595D">
        <w:t xml:space="preserve"> już samo dokonywanie próby określenia dokładności wyników tych pomiarów na podstawie wyników pomiaru kontrolnego </w:t>
      </w:r>
      <w:r w:rsidR="005A1DBD">
        <w:t xml:space="preserve">o którym mowa w </w:t>
      </w:r>
      <w:r w:rsidR="005A1DBD">
        <w:rPr>
          <w:rFonts w:cs="Calibri"/>
        </w:rPr>
        <w:t xml:space="preserve">§ 12 Rozporządzenia </w:t>
      </w:r>
      <w:r w:rsidR="00F91C8F">
        <w:rPr>
          <w:rFonts w:cs="Calibri"/>
        </w:rPr>
        <w:br/>
      </w:r>
      <w:r w:rsidR="005A1DBD">
        <w:rPr>
          <w:rFonts w:cs="Calibri"/>
        </w:rPr>
        <w:t xml:space="preserve">o standardach, </w:t>
      </w:r>
      <w:r w:rsidR="004C595D">
        <w:t xml:space="preserve">zakrawa na smutny żart z zawodu geodety. </w:t>
      </w:r>
    </w:p>
    <w:p w:rsidR="005A1DBD" w:rsidRDefault="00106978" w:rsidP="00250AE8">
      <w:pPr>
        <w:ind w:firstLine="709"/>
        <w:jc w:val="both"/>
      </w:pPr>
      <w:r>
        <w:t xml:space="preserve">Na koniec, nawiązując do trzeciej zmiennej jaką DWINGIK uznał jako bezpośredni czynnik wpływający </w:t>
      </w:r>
      <w:r w:rsidR="00F91C8F">
        <w:br/>
      </w:r>
      <w:r>
        <w:t>na</w:t>
      </w:r>
      <w:r w:rsidR="0069755B">
        <w:t xml:space="preserve"> wartość błędu średniego pomiaru, przede wszystkim należy zaznaczyć, że powtarzalność pomiaru to nie </w:t>
      </w:r>
      <w:r w:rsidR="00F91C8F">
        <w:br/>
      </w:r>
      <w:r w:rsidR="0069755B">
        <w:t xml:space="preserve">to samo co dokładność pomiaru. </w:t>
      </w:r>
      <w:r w:rsidR="00986E25">
        <w:t xml:space="preserve">Dokładność pomiaru </w:t>
      </w:r>
      <w:r w:rsidR="00986E25" w:rsidRPr="00986E25">
        <w:t>odnosi się do poziomu zgodności między rzeczywistym pomiarem a pomiarem b</w:t>
      </w:r>
      <w:r w:rsidR="00986E25">
        <w:t xml:space="preserve">ezwzględnym, natomiast powtarzalność pomiaru jest to </w:t>
      </w:r>
      <w:r w:rsidR="00986E25" w:rsidRPr="00986E25">
        <w:t>stopień zgodności między wynikami uzyskanymi w określonych warunkach z wielokrotnych pomiarów tej samej wielkości.</w:t>
      </w:r>
      <w:r w:rsidR="00986E25">
        <w:t xml:space="preserve"> Dokładność pomiaru określa jak dokładnie wynik zgadza się ze standardową wartością, natomiast powtarzalność pomiaru określa jak bardzo otrzymane wyniki zgadzają się ze sobą. </w:t>
      </w:r>
      <w:r w:rsidR="00986E25" w:rsidRPr="00986E25">
        <w:t>Powtarzalność i dokładność pomiaru są od siebie niezależne.</w:t>
      </w:r>
      <w:r w:rsidR="00986E25">
        <w:t xml:space="preserve"> </w:t>
      </w:r>
      <w:r w:rsidR="007B1DB3">
        <w:t>Metoda pomiaru może być wysoce powtarzalna, ale mało dokładna. Metoda pomiaru może też być mało powta</w:t>
      </w:r>
      <w:r w:rsidR="006D08EE">
        <w:t>rz</w:t>
      </w:r>
      <w:r w:rsidR="007B1DB3">
        <w:t>alna, ale za to dokładna</w:t>
      </w:r>
      <w:r w:rsidR="009313C6">
        <w:t>, itd</w:t>
      </w:r>
      <w:r w:rsidR="007B1DB3">
        <w:t>.</w:t>
      </w:r>
    </w:p>
    <w:p w:rsidR="006D08EE" w:rsidRDefault="006D08EE" w:rsidP="00250AE8">
      <w:pPr>
        <w:ind w:firstLine="709"/>
        <w:jc w:val="both"/>
      </w:pPr>
      <w:r>
        <w:t>Je</w:t>
      </w:r>
      <w:r w:rsidR="00A64C20">
        <w:t>żeli autor informacji zamieszczonej na stronie WWW systemu ASG-EUPOS użył pojęcia ‘</w:t>
      </w:r>
      <w:r w:rsidR="00A64C20" w:rsidRPr="008D1105">
        <w:rPr>
          <w:i/>
        </w:rPr>
        <w:t>powtarzalność</w:t>
      </w:r>
      <w:r w:rsidR="00A64C20">
        <w:t>’ w sensie technicznym</w:t>
      </w:r>
      <w:r w:rsidR="0036325F">
        <w:t xml:space="preserve"> (zgodnie z powyższymi definicjami)</w:t>
      </w:r>
      <w:r w:rsidR="00A64C20">
        <w:t>, to</w:t>
      </w:r>
      <w:r w:rsidR="0036325F">
        <w:t xml:space="preserve"> dokonana przez DWINGIK próba korelowania </w:t>
      </w:r>
      <w:r w:rsidR="00F91C8F">
        <w:br/>
      </w:r>
      <w:r w:rsidR="0036325F">
        <w:t xml:space="preserve">tej zmiennej z określeniem dokładności pomiarów metodą GNSS była równie nietrafiona jak w przypadku </w:t>
      </w:r>
      <w:r w:rsidR="00B63A95">
        <w:t>‘</w:t>
      </w:r>
      <w:r w:rsidR="0036325F">
        <w:t>pomiaru kontrolnego</w:t>
      </w:r>
      <w:r w:rsidR="00B63A95">
        <w:t>’</w:t>
      </w:r>
      <w:r w:rsidR="0036325F">
        <w:t xml:space="preserve">. </w:t>
      </w:r>
      <w:r w:rsidR="00B63A95">
        <w:t>Jeżeli jednak autor ten użył pojęcia ‘</w:t>
      </w:r>
      <w:r w:rsidR="00B63A95" w:rsidRPr="008D1105">
        <w:rPr>
          <w:i/>
        </w:rPr>
        <w:t>powtarzalność</w:t>
      </w:r>
      <w:r w:rsidR="00B63A95">
        <w:t>’ w sensie potocznym, jako synonim słowa ‘</w:t>
      </w:r>
      <w:r w:rsidR="00B63A95" w:rsidRPr="008D1105">
        <w:rPr>
          <w:i/>
        </w:rPr>
        <w:t>dokładność</w:t>
      </w:r>
      <w:r w:rsidR="00B63A95">
        <w:t>’, to informacja ta jest</w:t>
      </w:r>
      <w:r w:rsidR="008D1105">
        <w:t>, w kontekście analizowanej nieprawidłowości,</w:t>
      </w:r>
      <w:r w:rsidR="00B63A95">
        <w:t xml:space="preserve"> tylko potwierdzeniem, że wykonywanie pomiarów geodezyjnych metodą GNSS z wykorzystaniem </w:t>
      </w:r>
      <w:r w:rsidR="00B63A95" w:rsidRPr="00B63A95">
        <w:t>sieciowych danych korekcyjnych RTN</w:t>
      </w:r>
      <w:r w:rsidR="00B63A95">
        <w:t xml:space="preserve"> systemu ASG-EUPOS zapewnia uzyskanie wyników tych pomiarów</w:t>
      </w:r>
      <w:r w:rsidR="00E1122F">
        <w:t xml:space="preserve"> m.in.</w:t>
      </w:r>
      <w:r w:rsidR="00B63A95">
        <w:t xml:space="preserve"> z dokładnością </w:t>
      </w:r>
      <w:r w:rsidR="00E1122F">
        <w:t xml:space="preserve">o której mowa </w:t>
      </w:r>
      <w:r w:rsidR="00F91C8F">
        <w:br/>
      </w:r>
      <w:r w:rsidR="00E1122F">
        <w:t xml:space="preserve">w </w:t>
      </w:r>
      <w:r w:rsidR="00E1122F">
        <w:rPr>
          <w:rFonts w:cs="Calibri"/>
        </w:rPr>
        <w:t>§ 36 ust.1</w:t>
      </w:r>
      <w:r w:rsidR="00E1122F">
        <w:t xml:space="preserve"> pkt 1 Rozporządzenia o standardach. </w:t>
      </w:r>
    </w:p>
    <w:p w:rsidR="00E1122F" w:rsidRDefault="00E1122F" w:rsidP="00250AE8">
      <w:pPr>
        <w:ind w:firstLine="709"/>
        <w:jc w:val="both"/>
      </w:pPr>
      <w:r>
        <w:t>Reasumując, DWINGIK dokonując zupełnie dowolnej interpretacji ww. zupełnie niezależnych od siebie pojęć i na podstawie tego dokonując nieudolnej próby</w:t>
      </w:r>
      <w:r w:rsidR="00801E58">
        <w:t xml:space="preserve"> udowodnienia, również niezależnej od tych pojęć, z góry założonej tezy, zupełnie rozminął się zarówno z meritum analizowanej kwestii, jak i z logiką </w:t>
      </w:r>
      <w:proofErr w:type="spellStart"/>
      <w:r w:rsidR="00801E58">
        <w:t>przyczynowo-skutkową</w:t>
      </w:r>
      <w:proofErr w:type="spellEnd"/>
      <w:r w:rsidR="00801E58">
        <w:t>. Jednocześnie</w:t>
      </w:r>
      <w:r w:rsidR="008D1105">
        <w:t xml:space="preserve"> zupełnie pomijając uzasadnienie stwierdzenia nieprawidłowości, przechodząc </w:t>
      </w:r>
      <w:r w:rsidR="00F91C8F">
        <w:br/>
      </w:r>
      <w:r w:rsidR="008D1105">
        <w:t xml:space="preserve">od zarzutu bezpośrednio do wniosku, DWINGIK dokonał weryfikacji w tym zakresie z naruszeniem </w:t>
      </w:r>
      <w:r w:rsidR="00F91C8F">
        <w:br/>
      </w:r>
      <w:r w:rsidR="008D1105">
        <w:t>art. 7, 8, 9 i 11 k.p.a.</w:t>
      </w:r>
    </w:p>
    <w:p w:rsidR="008D1105" w:rsidRDefault="008D1105" w:rsidP="008D1105">
      <w:pPr>
        <w:ind w:firstLine="709"/>
        <w:jc w:val="both"/>
      </w:pPr>
      <w:r>
        <w:t>W związku z powyższym, należy stwierdzić, iż brak jest podstaw do odmowy przyjęcia przedmiotowej dokumentacji do PZGIK na podstawie przywołanej w punkcie II.4. protokołu weryfikacji, informacji o zakresie nieprawidłowości.</w:t>
      </w:r>
    </w:p>
    <w:p w:rsidR="00F91C8F" w:rsidRDefault="00F91C8F" w:rsidP="008D1105"/>
    <w:p w:rsidR="00F91C8F" w:rsidRDefault="00F91C8F" w:rsidP="008D1105"/>
    <w:p w:rsidR="008D1105" w:rsidRPr="00F91C8F" w:rsidRDefault="008D1105" w:rsidP="008D1105">
      <w:pPr>
        <w:rPr>
          <w:b/>
        </w:rPr>
      </w:pPr>
      <w:r w:rsidRPr="00F91C8F">
        <w:rPr>
          <w:b/>
        </w:rPr>
        <w:lastRenderedPageBreak/>
        <w:t>Ad. II.5.</w:t>
      </w:r>
    </w:p>
    <w:p w:rsidR="00E84EC3" w:rsidRDefault="008D1105" w:rsidP="004A1127">
      <w:pPr>
        <w:ind w:firstLine="709"/>
        <w:jc w:val="both"/>
      </w:pPr>
      <w:r>
        <w:t xml:space="preserve">Przytoczoną nieprawidłowość należy uznać za bezzasadną. </w:t>
      </w:r>
      <w:r w:rsidR="004A1127">
        <w:t xml:space="preserve">Zgodnie z przytoczonym przez DWINGIK </w:t>
      </w:r>
      <w:r w:rsidR="00F91C8F">
        <w:br/>
      </w:r>
      <w:r w:rsidR="004A1127">
        <w:rPr>
          <w:rFonts w:cs="Calibri"/>
        </w:rPr>
        <w:t>§ 71 ust.7</w:t>
      </w:r>
      <w:r w:rsidR="004A1127">
        <w:t xml:space="preserve"> pkt 6</w:t>
      </w:r>
      <w:r w:rsidR="002F69DB">
        <w:t xml:space="preserve"> </w:t>
      </w:r>
      <w:proofErr w:type="spellStart"/>
      <w:r w:rsidR="002F69DB">
        <w:t>ppkt</w:t>
      </w:r>
      <w:proofErr w:type="spellEnd"/>
      <w:r w:rsidR="002F69DB">
        <w:t xml:space="preserve"> </w:t>
      </w:r>
      <w:r w:rsidR="004A1127">
        <w:t>b Rozporządzenia o standardach</w:t>
      </w:r>
      <w:r w:rsidR="00320EBB">
        <w:t>:</w:t>
      </w:r>
    </w:p>
    <w:p w:rsidR="00320EBB" w:rsidRDefault="00320EBB" w:rsidP="00320EBB">
      <w:pPr>
        <w:spacing w:after="0"/>
        <w:ind w:left="1418" w:right="1842" w:firstLine="709"/>
        <w:jc w:val="both"/>
      </w:pPr>
      <w:r>
        <w:t>„</w:t>
      </w:r>
      <w:r w:rsidRPr="00320EBB">
        <w:rPr>
          <w:i/>
        </w:rPr>
        <w:t>Sprawozdanie techniczne, o którym  mowa w ust. 2 pkt 4, zawiera:</w:t>
      </w:r>
    </w:p>
    <w:p w:rsidR="00320EBB" w:rsidRDefault="00320EBB" w:rsidP="00320EBB">
      <w:pPr>
        <w:spacing w:after="0"/>
        <w:ind w:left="2694" w:right="1842" w:hanging="567"/>
        <w:jc w:val="both"/>
      </w:pPr>
      <w:r>
        <w:t xml:space="preserve">[…] </w:t>
      </w:r>
      <w:r w:rsidRPr="00320EBB">
        <w:rPr>
          <w:i/>
        </w:rPr>
        <w:t xml:space="preserve">6) </w:t>
      </w:r>
      <w:r w:rsidRPr="006152BD">
        <w:rPr>
          <w:i/>
          <w:color w:val="FF0000"/>
        </w:rPr>
        <w:t xml:space="preserve">opis przebiegu </w:t>
      </w:r>
      <w:r w:rsidRPr="00320EBB">
        <w:rPr>
          <w:i/>
        </w:rPr>
        <w:t>i </w:t>
      </w:r>
      <w:r w:rsidRPr="006152BD">
        <w:rPr>
          <w:i/>
          <w:color w:val="0070C0"/>
        </w:rPr>
        <w:t>rezultatów</w:t>
      </w:r>
      <w:r w:rsidRPr="00320EBB">
        <w:rPr>
          <w:i/>
        </w:rPr>
        <w:t xml:space="preserve"> wykonanych prac geodezyjnych lub kartograficznych, zawierający w szczególności:</w:t>
      </w:r>
    </w:p>
    <w:p w:rsidR="00320EBB" w:rsidRDefault="00320EBB" w:rsidP="00320EBB">
      <w:pPr>
        <w:ind w:left="1418" w:right="1842" w:firstLine="709"/>
        <w:jc w:val="both"/>
      </w:pPr>
      <w:r>
        <w:t xml:space="preserve">[…] </w:t>
      </w:r>
      <w:r w:rsidRPr="00320EBB">
        <w:rPr>
          <w:i/>
        </w:rPr>
        <w:t xml:space="preserve">b) </w:t>
      </w:r>
      <w:r w:rsidRPr="006152BD">
        <w:rPr>
          <w:i/>
          <w:color w:val="00B050"/>
        </w:rPr>
        <w:t xml:space="preserve">zastosowane technologie </w:t>
      </w:r>
      <w:r w:rsidRPr="00320EBB">
        <w:rPr>
          <w:i/>
        </w:rPr>
        <w:t>i </w:t>
      </w:r>
      <w:r w:rsidRPr="006152BD">
        <w:rPr>
          <w:i/>
          <w:color w:val="7030A0"/>
        </w:rPr>
        <w:t>metody pomiarowe</w:t>
      </w:r>
      <w:r w:rsidRPr="00320EBB">
        <w:rPr>
          <w:i/>
        </w:rPr>
        <w:t>;</w:t>
      </w:r>
      <w:r>
        <w:t>”</w:t>
      </w:r>
    </w:p>
    <w:p w:rsidR="004A1127" w:rsidRDefault="00320EBB" w:rsidP="004A1127">
      <w:pPr>
        <w:ind w:firstLine="709"/>
        <w:jc w:val="both"/>
      </w:pPr>
      <w:r>
        <w:t>Sporządzone przez wykonawcę sprawozdanie techniczne</w:t>
      </w:r>
      <w:r w:rsidR="006152BD">
        <w:t xml:space="preserve"> zawiera</w:t>
      </w:r>
      <w:r w:rsidR="00F91C8F">
        <w:t xml:space="preserve"> (zrzut ekranu)</w:t>
      </w:r>
      <w:r w:rsidR="006152BD">
        <w:t>:</w:t>
      </w:r>
    </w:p>
    <w:p w:rsidR="004A1127" w:rsidRDefault="00C54730" w:rsidP="00C54730">
      <w:pPr>
        <w:jc w:val="center"/>
      </w:pPr>
      <w:r>
        <w:rPr>
          <w:noProof/>
          <w:lang w:eastAsia="pl-PL"/>
        </w:rPr>
        <w:drawing>
          <wp:inline distT="0" distB="0" distL="0" distR="0" wp14:anchorId="3F219DCA" wp14:editId="23B43C83">
            <wp:extent cx="5421086" cy="2043971"/>
            <wp:effectExtent l="19050" t="19050" r="8255" b="139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0987" cy="20477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1127" w:rsidRDefault="00EA3B90" w:rsidP="004A1127">
      <w:pPr>
        <w:ind w:firstLine="709"/>
        <w:jc w:val="both"/>
      </w:pPr>
      <w:r>
        <w:t>W opisie nieprawidłowości, DWINGIK zdaje się mylić dwa pojęcia, mianowicie ‘</w:t>
      </w:r>
      <w:r w:rsidRPr="00EA3B90">
        <w:rPr>
          <w:i/>
        </w:rPr>
        <w:t xml:space="preserve">wynik opracowania </w:t>
      </w:r>
      <w:r w:rsidRPr="00EA3B90">
        <w:rPr>
          <w:b/>
          <w:i/>
        </w:rPr>
        <w:t>pomiarów geodezyjnych</w:t>
      </w:r>
      <w:r>
        <w:t>’ oraz ‘</w:t>
      </w:r>
      <w:r w:rsidRPr="00EA3B90">
        <w:rPr>
          <w:i/>
        </w:rPr>
        <w:t xml:space="preserve">rezultat wykonanych </w:t>
      </w:r>
      <w:r w:rsidRPr="00BD0A21">
        <w:rPr>
          <w:b/>
          <w:i/>
          <w:color w:val="0070C0"/>
        </w:rPr>
        <w:t>prac geodezyjnych</w:t>
      </w:r>
      <w:r>
        <w:t>’</w:t>
      </w:r>
      <w:r w:rsidR="00C00E9E">
        <w:t xml:space="preserve">. </w:t>
      </w:r>
      <w:r w:rsidR="0074128C">
        <w:t>Wprawdzie</w:t>
      </w:r>
      <w:r w:rsidR="00EE4D8D">
        <w:t xml:space="preserve"> słowa ‘</w:t>
      </w:r>
      <w:r w:rsidR="00EE4D8D" w:rsidRPr="00EE4D8D">
        <w:rPr>
          <w:i/>
        </w:rPr>
        <w:t>wynik</w:t>
      </w:r>
      <w:r w:rsidR="00EE4D8D">
        <w:t xml:space="preserve">’ </w:t>
      </w:r>
      <w:r w:rsidR="00F91C8F">
        <w:br/>
      </w:r>
      <w:r w:rsidR="00EE4D8D">
        <w:t>oraz ‘</w:t>
      </w:r>
      <w:r w:rsidR="00EE4D8D" w:rsidRPr="00EE4D8D">
        <w:rPr>
          <w:i/>
        </w:rPr>
        <w:t>rezultat</w:t>
      </w:r>
      <w:r w:rsidR="00EE4D8D">
        <w:t>’ mają w tym kontekście praktycznie to samo znaczenie, niemniej</w:t>
      </w:r>
      <w:r w:rsidR="003C7A25">
        <w:t xml:space="preserve"> zasadniczy wpływ na różnicę znaczeń tych pojęć mają zawarte w nich ostatnie dwa słowa określające </w:t>
      </w:r>
      <w:r w:rsidR="0040103D">
        <w:t xml:space="preserve">zbiór </w:t>
      </w:r>
      <w:r w:rsidR="003C7A25">
        <w:t>czynności</w:t>
      </w:r>
      <w:r w:rsidR="0040103D">
        <w:t xml:space="preserve"> prowadzących do tych rezultatów.</w:t>
      </w:r>
    </w:p>
    <w:p w:rsidR="0040103D" w:rsidRDefault="0040103D" w:rsidP="004A1127">
      <w:pPr>
        <w:ind w:firstLine="709"/>
        <w:jc w:val="both"/>
      </w:pPr>
      <w:r>
        <w:t>Aby ułatwić DWINGIK dostrzeżenie tych subtelnych różnić</w:t>
      </w:r>
      <w:r w:rsidR="002F69DB">
        <w:t xml:space="preserve"> w znaczeniu powyższych pojęć</w:t>
      </w:r>
      <w:r w:rsidR="00D11CFE">
        <w:t>,</w:t>
      </w:r>
      <w:r w:rsidR="002F69DB">
        <w:t xml:space="preserve"> </w:t>
      </w:r>
      <w:r w:rsidR="00D11CFE">
        <w:t>dla</w:t>
      </w:r>
      <w:r w:rsidR="002F69DB">
        <w:t xml:space="preserve"> właściwej ich interpretacji, warto </w:t>
      </w:r>
      <w:r w:rsidR="00CA7B18">
        <w:t>dodatkowo</w:t>
      </w:r>
      <w:r w:rsidR="00D11CFE">
        <w:t xml:space="preserve"> zwrócić uwagę na to jakie są cele i zakresy tych dwóch zbiorów czynności:</w:t>
      </w:r>
    </w:p>
    <w:p w:rsidR="00D11CFE" w:rsidRDefault="00D11CFE" w:rsidP="00D11CFE">
      <w:pPr>
        <w:pStyle w:val="Akapitzlist"/>
        <w:numPr>
          <w:ilvl w:val="0"/>
          <w:numId w:val="36"/>
        </w:numPr>
        <w:jc w:val="both"/>
      </w:pPr>
      <w:r w:rsidRPr="00780892">
        <w:rPr>
          <w:b/>
        </w:rPr>
        <w:t>Pomiary geodezyjne</w:t>
      </w:r>
      <w:r>
        <w:t xml:space="preserve"> – celem pomiarów geodezyjnych jest opracowanie zbiorów danych, szkiców, dzienników itp.</w:t>
      </w:r>
      <w:r w:rsidR="00780892">
        <w:t xml:space="preserve"> (wyniki pomiarów)</w:t>
      </w:r>
      <w:r>
        <w:t xml:space="preserve"> poprzez przetworzenie danych obserwacyjnych uzyskanych </w:t>
      </w:r>
      <w:r w:rsidR="00F57936">
        <w:br/>
      </w:r>
      <w:r>
        <w:t>w wynik</w:t>
      </w:r>
      <w:r w:rsidR="00780892">
        <w:t>u</w:t>
      </w:r>
      <w:r>
        <w:t xml:space="preserve"> pomiarów</w:t>
      </w:r>
      <w:r w:rsidR="00780892">
        <w:t xml:space="preserve"> (</w:t>
      </w:r>
      <w:r w:rsidR="00780892">
        <w:rPr>
          <w:rFonts w:cs="Calibri"/>
        </w:rPr>
        <w:t>§ 63 ust.1</w:t>
      </w:r>
      <w:r w:rsidR="00780892">
        <w:t xml:space="preserve"> Rozporządzenia o standardach),</w:t>
      </w:r>
    </w:p>
    <w:p w:rsidR="00780892" w:rsidRDefault="00780892" w:rsidP="00BD0A21">
      <w:pPr>
        <w:pStyle w:val="Akapitzlist"/>
        <w:numPr>
          <w:ilvl w:val="0"/>
          <w:numId w:val="36"/>
        </w:numPr>
        <w:spacing w:after="200"/>
        <w:ind w:left="1066" w:hanging="357"/>
        <w:jc w:val="both"/>
      </w:pPr>
      <w:r w:rsidRPr="00BD0A21">
        <w:rPr>
          <w:b/>
          <w:color w:val="0070C0"/>
        </w:rPr>
        <w:t>Prace geodezyjne</w:t>
      </w:r>
      <w:r>
        <w:t xml:space="preserve"> – celem prac geodezyjnych jest opracowanie określonej dokumentacji (np. mapa do celów projektowych) poprzez przetworzenie</w:t>
      </w:r>
      <w:r w:rsidR="00BD0A21">
        <w:t xml:space="preserve"> zbiorów danych PZGIK i wyników pomiarów terenowych (art. 12 ust. 1 pkt 3 Ustawy GIK, </w:t>
      </w:r>
      <w:r w:rsidR="00BD0A21">
        <w:rPr>
          <w:rFonts w:cs="Calibri"/>
        </w:rPr>
        <w:t xml:space="preserve">§ 78 </w:t>
      </w:r>
      <w:r w:rsidR="00BD0A21">
        <w:t>Rozporządzenia o standardach).</w:t>
      </w:r>
    </w:p>
    <w:tbl>
      <w:tblPr>
        <w:tblStyle w:val="Tabela-Siatk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821"/>
      </w:tblGrid>
      <w:tr w:rsidR="00811549" w:rsidTr="00F57936">
        <w:trPr>
          <w:trHeight w:val="2119"/>
        </w:trPr>
        <w:tc>
          <w:tcPr>
            <w:tcW w:w="6096" w:type="dxa"/>
            <w:vAlign w:val="center"/>
          </w:tcPr>
          <w:p w:rsidR="00811549" w:rsidRDefault="00811549" w:rsidP="007417B0">
            <w:pPr>
              <w:spacing w:after="0"/>
              <w:ind w:firstLine="709"/>
              <w:jc w:val="both"/>
            </w:pPr>
            <w:r>
              <w:t xml:space="preserve">Z powyższego można wywnioskować, że </w:t>
            </w:r>
            <w:r w:rsidRPr="00811549">
              <w:rPr>
                <w:b/>
                <w:color w:val="0070C0"/>
              </w:rPr>
              <w:t>Praca geodezyjna</w:t>
            </w:r>
            <w:r>
              <w:t xml:space="preserve"> jest pewnym szerszym zbiorem czynności zawierającym poza innymi zbiorami czynności (np. przetwarzanie) również </w:t>
            </w:r>
            <w:r w:rsidRPr="00811549">
              <w:rPr>
                <w:b/>
              </w:rPr>
              <w:t>Pomiary geodezyjne</w:t>
            </w:r>
            <w:r>
              <w:t xml:space="preserve"> (</w:t>
            </w:r>
            <w:r w:rsidR="007417B0">
              <w:t>z</w:t>
            </w:r>
            <w:r>
              <w:t>ależności te obrazuje zamieszczony obok diagram)</w:t>
            </w:r>
            <w:r w:rsidR="00997A2F">
              <w:t xml:space="preserve">. </w:t>
            </w:r>
            <w:r w:rsidR="007417B0">
              <w:t xml:space="preserve">Jednocześnie warto zwrócić uwagę na to, że jeżeli realizuje się jakieś czynności prowadzące do jakiegoś celu, to jeżeli ostatecznie cel ten zostanie osiągnięty, to otrzymuje się </w:t>
            </w:r>
            <w:r w:rsidR="007417B0" w:rsidRPr="00F57936">
              <w:rPr>
                <w:i/>
              </w:rPr>
              <w:t>rezultat</w:t>
            </w:r>
            <w:r w:rsidR="007417B0">
              <w:t>.</w:t>
            </w:r>
          </w:p>
        </w:tc>
        <w:tc>
          <w:tcPr>
            <w:tcW w:w="3821" w:type="dxa"/>
          </w:tcPr>
          <w:p w:rsidR="00811549" w:rsidRDefault="00811549" w:rsidP="00811549">
            <w:pPr>
              <w:spacing w:after="0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ACBFF42" wp14:editId="2F0C6803">
                  <wp:extent cx="1644463" cy="1235930"/>
                  <wp:effectExtent l="19050" t="19050" r="13335" b="2159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02" cy="130164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549" w:rsidRDefault="007417B0" w:rsidP="00F57936">
      <w:pPr>
        <w:spacing w:after="120" w:line="264" w:lineRule="auto"/>
        <w:ind w:firstLine="709"/>
        <w:jc w:val="both"/>
      </w:pPr>
      <w:r>
        <w:lastRenderedPageBreak/>
        <w:t xml:space="preserve">W takim wypadku, rezultatem pomiarów geodezyjnych są wyniki pomiarów w postaci zestawień itd., natomiast </w:t>
      </w:r>
      <w:r w:rsidRPr="00636544">
        <w:rPr>
          <w:color w:val="0070C0"/>
        </w:rPr>
        <w:t xml:space="preserve">rezultatem pracy geodezyjnej </w:t>
      </w:r>
      <w:r>
        <w:t>jest</w:t>
      </w:r>
      <w:r w:rsidR="00636544">
        <w:t xml:space="preserve"> opracowana określona w art. 12 ust. 1 pkt 3 Ustawy GIK dokumentacja, np. </w:t>
      </w:r>
      <w:r w:rsidR="00636544" w:rsidRPr="00636544">
        <w:rPr>
          <w:color w:val="0070C0"/>
        </w:rPr>
        <w:t>mapa do celów projektowych</w:t>
      </w:r>
      <w:r w:rsidR="00636544">
        <w:t>.</w:t>
      </w:r>
    </w:p>
    <w:p w:rsidR="004A1127" w:rsidRDefault="00636544" w:rsidP="00F57936">
      <w:pPr>
        <w:spacing w:after="120" w:line="264" w:lineRule="auto"/>
        <w:ind w:firstLine="709"/>
        <w:jc w:val="both"/>
      </w:pPr>
      <w:r>
        <w:t xml:space="preserve">W związku z powyższym należy uznać, że </w:t>
      </w:r>
      <w:r w:rsidRPr="00636544">
        <w:t>opis rezultatów wykonanych prac geodezyjnych</w:t>
      </w:r>
      <w:r>
        <w:t xml:space="preserve">, o którym mowa </w:t>
      </w:r>
      <w:r>
        <w:rPr>
          <w:rFonts w:cs="Calibri"/>
        </w:rPr>
        <w:t>§ 71 ust.7</w:t>
      </w:r>
      <w:r>
        <w:t xml:space="preserve"> pkt 6 </w:t>
      </w:r>
      <w:proofErr w:type="spellStart"/>
      <w:r>
        <w:t>ppkt</w:t>
      </w:r>
      <w:proofErr w:type="spellEnd"/>
      <w:r>
        <w:t xml:space="preserve"> b Rozporządzenia o standardach, dotyczy ostatecznych rezultatów całej pracy geodezyjnej, nie zaś poszczególnych jej etapów. I tak, w ramach przedmiotowej pracy geodezyjnej</w:t>
      </w:r>
      <w:r w:rsidR="00993074">
        <w:t xml:space="preserve"> rezultatem takim jest mapa do celów projektowych (oraz pośrednio operat techniczny)</w:t>
      </w:r>
      <w:r w:rsidR="00F57936">
        <w:t>,</w:t>
      </w:r>
      <w:r w:rsidR="00993074">
        <w:t xml:space="preserve"> informację o czym wykonawca zamieścił w sprawozdaniu technicznym. Poza tym, zamieszczanie w sprawozdaniu technicznym dodatkowo informacji o wymienionych przez DWINGIK w informacji o zakresie nieprawidłowości dokumentów „</w:t>
      </w:r>
      <w:r w:rsidR="00993074" w:rsidRPr="00993074">
        <w:rPr>
          <w:i/>
        </w:rPr>
        <w:t>będących wynikiem opracowania pomiarów geodezyjnych</w:t>
      </w:r>
      <w:r w:rsidR="00993074">
        <w:t xml:space="preserve">” byłoby tylko niepotrzebnym powielaniem tej informacji </w:t>
      </w:r>
      <w:r w:rsidR="00F57936">
        <w:br/>
      </w:r>
      <w:r w:rsidR="00993074">
        <w:t>w obrębie tego samego operatu technicznego, ponieważ zestawienie to zawiera się już w spisie dokumentów operatu technicznego, dlatego też takie działanie byłoby zupełnie nieuzasadnione.</w:t>
      </w:r>
    </w:p>
    <w:p w:rsidR="00993074" w:rsidRDefault="00993074" w:rsidP="00F57936">
      <w:pPr>
        <w:spacing w:after="120" w:line="264" w:lineRule="auto"/>
        <w:ind w:firstLine="709"/>
        <w:jc w:val="both"/>
      </w:pPr>
      <w:r>
        <w:t>W związku z powyższym, należy stwierdzić, iż brak jest podstaw do odmowy przyjęcia przedmiotowej dokumentacji do PZGIK na podstawie przywołanej w punkcie II.5. protokołu weryfikacji, informacji o zakresie nieprawidłowości.</w:t>
      </w:r>
    </w:p>
    <w:p w:rsidR="00993074" w:rsidRPr="00F57936" w:rsidRDefault="00993074" w:rsidP="00F57936">
      <w:pPr>
        <w:spacing w:after="120" w:line="264" w:lineRule="auto"/>
        <w:rPr>
          <w:b/>
        </w:rPr>
      </w:pPr>
      <w:r w:rsidRPr="00F57936">
        <w:rPr>
          <w:b/>
        </w:rPr>
        <w:t>Ad. II.6.</w:t>
      </w:r>
    </w:p>
    <w:p w:rsidR="00993074" w:rsidRDefault="00993074" w:rsidP="00F57936">
      <w:pPr>
        <w:spacing w:after="120" w:line="264" w:lineRule="auto"/>
        <w:ind w:firstLine="709"/>
        <w:jc w:val="both"/>
      </w:pPr>
      <w:r>
        <w:t>Przytoczoną nieprawidłowość należy uznać za bezzasadną.</w:t>
      </w:r>
      <w:r w:rsidR="00A47E13">
        <w:t xml:space="preserve"> W ramach przedmiotowej pracy geodezyjnej w terenie nie była zakładana żadna </w:t>
      </w:r>
      <w:r w:rsidR="00A47E13" w:rsidRPr="00351BB8">
        <w:rPr>
          <w:b/>
        </w:rPr>
        <w:t>pomiarowa osnowa geodezyjna</w:t>
      </w:r>
      <w:r w:rsidR="00A5206F">
        <w:t xml:space="preserve"> o której mowa w </w:t>
      </w:r>
      <w:r w:rsidR="00A5206F">
        <w:rPr>
          <w:rFonts w:cs="Calibri"/>
        </w:rPr>
        <w:t>§ 71 ust. 5</w:t>
      </w:r>
      <w:r w:rsidR="00A5206F">
        <w:t xml:space="preserve"> pkt 1 </w:t>
      </w:r>
      <w:r w:rsidR="00F57936">
        <w:br/>
      </w:r>
      <w:r w:rsidR="00A5206F">
        <w:t xml:space="preserve">w nawiązaniu do </w:t>
      </w:r>
      <w:r w:rsidR="00A5206F">
        <w:rPr>
          <w:rFonts w:cs="Calibri"/>
        </w:rPr>
        <w:t>§</w:t>
      </w:r>
      <w:r w:rsidR="00A5206F">
        <w:t xml:space="preserve"> 16 Rozporządzenia o standardach</w:t>
      </w:r>
      <w:r w:rsidR="00351BB8">
        <w:t xml:space="preserve">. Żadna </w:t>
      </w:r>
      <w:r w:rsidR="00351BB8" w:rsidRPr="00351BB8">
        <w:rPr>
          <w:b/>
        </w:rPr>
        <w:t>osnowa pomiarowa</w:t>
      </w:r>
      <w:r w:rsidR="00351BB8">
        <w:t xml:space="preserve"> nie była również w ramach przedmiotowej pracy mierzona. Dlatego niezrozumiałym jest „</w:t>
      </w:r>
      <w:r w:rsidR="00351BB8" w:rsidRPr="00351BB8">
        <w:rPr>
          <w:i/>
        </w:rPr>
        <w:t>prezentację oznaczenia</w:t>
      </w:r>
      <w:r w:rsidR="00351BB8">
        <w:t xml:space="preserve">” jakiej </w:t>
      </w:r>
      <w:r w:rsidR="00351BB8" w:rsidRPr="00351BB8">
        <w:rPr>
          <w:b/>
        </w:rPr>
        <w:t>osnow</w:t>
      </w:r>
      <w:r w:rsidR="00351BB8">
        <w:rPr>
          <w:b/>
        </w:rPr>
        <w:t>y</w:t>
      </w:r>
      <w:r w:rsidR="00351BB8" w:rsidRPr="00351BB8">
        <w:rPr>
          <w:b/>
        </w:rPr>
        <w:t xml:space="preserve"> pomiarow</w:t>
      </w:r>
      <w:r w:rsidR="00351BB8">
        <w:rPr>
          <w:b/>
        </w:rPr>
        <w:t>ej</w:t>
      </w:r>
      <w:r w:rsidR="00351BB8">
        <w:t xml:space="preserve"> DWINGIK chciałby zamieścić na szkicach wykonanych w ramach przedmiotowej pracy geodezyjnej, ani co pojęcie „</w:t>
      </w:r>
      <w:r w:rsidR="00351BB8" w:rsidRPr="00351BB8">
        <w:rPr>
          <w:i/>
        </w:rPr>
        <w:t>prezentacja oznaczenia</w:t>
      </w:r>
      <w:r w:rsidR="00351BB8">
        <w:t>” w ogóle oznacza.</w:t>
      </w:r>
    </w:p>
    <w:p w:rsidR="00351BB8" w:rsidRDefault="00351BB8" w:rsidP="00F57936">
      <w:pPr>
        <w:spacing w:after="120" w:line="264" w:lineRule="auto"/>
        <w:ind w:firstLine="709"/>
        <w:jc w:val="both"/>
        <w:rPr>
          <w:rFonts w:cs="Calibri"/>
        </w:rPr>
      </w:pPr>
      <w:r>
        <w:t>Niezależnie od powyższego</w:t>
      </w:r>
      <w:r w:rsidR="007771B4">
        <w:t>, na każdym szkicu wykonanym w ramach przedmiotowej pracy geodezyjnej zamieszczono zestawienie punktów osnowy geodezyjnej</w:t>
      </w:r>
      <w:r w:rsidR="00F57936">
        <w:t>,</w:t>
      </w:r>
      <w:r w:rsidR="007771B4">
        <w:t xml:space="preserve"> na której wykonany został pomiar kontrolny o którym mowa w </w:t>
      </w:r>
      <w:r w:rsidR="007771B4">
        <w:rPr>
          <w:rFonts w:cs="Calibri"/>
        </w:rPr>
        <w:t>§ 12 Rozporządzenia o standardach, zawierające oznaczenie numeryczne poszczególnych punktów. Zestawieni</w:t>
      </w:r>
      <w:r w:rsidR="00F57936">
        <w:rPr>
          <w:rFonts w:cs="Calibri"/>
        </w:rPr>
        <w:t>e</w:t>
      </w:r>
      <w:r w:rsidR="007771B4">
        <w:rPr>
          <w:rFonts w:cs="Calibri"/>
        </w:rPr>
        <w:t xml:space="preserve"> to umieszczone jest</w:t>
      </w:r>
      <w:r w:rsidR="00F57936">
        <w:rPr>
          <w:rFonts w:cs="Calibri"/>
        </w:rPr>
        <w:t>,</w:t>
      </w:r>
      <w:r w:rsidR="007771B4">
        <w:rPr>
          <w:rFonts w:cs="Calibri"/>
        </w:rPr>
        <w:t xml:space="preserve"> odpowiednio: w lewym dolnym rogu – szkice nr 1,2; w prawym dolnym rogu – szkice nr 3, 4; w lewym górnym rogu – szkic nr 5.</w:t>
      </w:r>
    </w:p>
    <w:p w:rsidR="00B24D27" w:rsidRDefault="007771B4" w:rsidP="00F57936">
      <w:pPr>
        <w:spacing w:after="120" w:line="264" w:lineRule="auto"/>
        <w:ind w:firstLine="709"/>
        <w:jc w:val="both"/>
      </w:pPr>
      <w:r>
        <w:t>W związku z powyższym, należy stwierdzić, iż brak jest podstaw do odmowy przyjęcia przedmiotowej dokumentacji do PZGIK na podstawie przywołanej w punkcie II.6. protokołu weryfikacji, informacji o zakresie nieprawidłowości.</w:t>
      </w:r>
    </w:p>
    <w:p w:rsidR="007771B4" w:rsidRPr="00F57936" w:rsidRDefault="007771B4" w:rsidP="00F57936">
      <w:pPr>
        <w:spacing w:after="120" w:line="264" w:lineRule="auto"/>
        <w:rPr>
          <w:b/>
        </w:rPr>
      </w:pPr>
      <w:r w:rsidRPr="00F57936">
        <w:rPr>
          <w:b/>
        </w:rPr>
        <w:t>Ad. II.7.</w:t>
      </w:r>
    </w:p>
    <w:p w:rsidR="007771B4" w:rsidRPr="00E62E99" w:rsidRDefault="007771B4" w:rsidP="00F57936">
      <w:pPr>
        <w:spacing w:after="120" w:line="264" w:lineRule="auto"/>
        <w:ind w:firstLine="709"/>
        <w:jc w:val="both"/>
        <w:rPr>
          <w:b/>
        </w:rPr>
      </w:pPr>
      <w:r w:rsidRPr="00E62E99">
        <w:rPr>
          <w:b/>
        </w:rPr>
        <w:t>1)</w:t>
      </w:r>
    </w:p>
    <w:p w:rsidR="007771B4" w:rsidRDefault="007771B4" w:rsidP="00F57936">
      <w:pPr>
        <w:spacing w:line="264" w:lineRule="auto"/>
        <w:ind w:firstLine="709"/>
        <w:jc w:val="both"/>
      </w:pPr>
      <w:r>
        <w:t>Przytoczoną nieprawidło</w:t>
      </w:r>
      <w:r w:rsidR="00AC0D55">
        <w:t xml:space="preserve">wość należy uznać za bezzasadną, ponieważ mija się z rzeczywistością. Wbrew insynuacjom DWINGIK, sporządzona przez wykonawcę mapa do celów projektowych zawiera prezentację graficzną obiektu granica jednostki ewidencyjnej, pomiędzy jednostką ewidencyjną gmina Żukowice a jednostką ewidencyjną miasto Głogów. </w:t>
      </w:r>
      <w:r w:rsidR="00801947">
        <w:t>Linia granicy jednostki ewidencyjnej w zakresie mapy pokrywa się z granicą obrębu ewidencyjnego o tej samej grubości</w:t>
      </w:r>
      <w:r w:rsidR="00241594">
        <w:t xml:space="preserve"> oraz z linią zakresu mapy i linią rozgraniczającą tereny o różnych funkcjach MPZP o grubościach o poziom wyższych niż te dwie pierwsze. W związku z czym zdumiewające jest, że DWINGIK w ogóle próbuje doszukać się tej linii na wydr</w:t>
      </w:r>
      <w:r w:rsidR="00BB7A9C">
        <w:t>uku arkusza. Pomimo to, jakość wydruku tych arkuszy pozwala dostrzec fragment linii granicy jednostki ewidencyjnej w postaci kropek będących częścią symboliki linii tej granicy. Fragment ten zlokalizowany jest wokół krzyża siatki krzyży, znajdującego się na południowej części linii granicy jednostki ewidencyjnej (rys. poniżej)</w:t>
      </w:r>
      <w:r w:rsidR="00F57936">
        <w:t>.</w:t>
      </w:r>
    </w:p>
    <w:p w:rsidR="00BB7A9C" w:rsidRDefault="00BB7A9C" w:rsidP="00BB7A9C">
      <w:pPr>
        <w:ind w:firstLine="709"/>
        <w:jc w:val="center"/>
      </w:pPr>
      <w:r w:rsidRPr="00BB7A9C">
        <w:rPr>
          <w:noProof/>
          <w:lang w:eastAsia="pl-PL"/>
        </w:rPr>
        <w:lastRenderedPageBreak/>
        <w:drawing>
          <wp:inline distT="0" distB="0" distL="0" distR="0" wp14:anchorId="50E99FC8" wp14:editId="7F255F1E">
            <wp:extent cx="1730054" cy="1733047"/>
            <wp:effectExtent l="19050" t="19050" r="22860" b="196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7425" cy="1740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B7A9C" w:rsidRPr="00E62E99" w:rsidRDefault="00BB7A9C" w:rsidP="00BB7A9C">
      <w:pPr>
        <w:ind w:firstLine="709"/>
        <w:jc w:val="both"/>
        <w:rPr>
          <w:b/>
        </w:rPr>
      </w:pPr>
      <w:r w:rsidRPr="00E62E99">
        <w:rPr>
          <w:b/>
        </w:rPr>
        <w:t>2)</w:t>
      </w:r>
      <w:r w:rsidR="00863779" w:rsidRPr="00E62E99">
        <w:rPr>
          <w:b/>
        </w:rPr>
        <w:t xml:space="preserve"> </w:t>
      </w:r>
      <w:r w:rsidR="00B24D27" w:rsidRPr="00E62E99">
        <w:rPr>
          <w:b/>
        </w:rPr>
        <w:t>3)</w:t>
      </w:r>
    </w:p>
    <w:p w:rsidR="00863779" w:rsidRDefault="00BB7A9C" w:rsidP="00863779">
      <w:pPr>
        <w:ind w:firstLine="709"/>
        <w:jc w:val="both"/>
      </w:pPr>
      <w:r>
        <w:t>Przytoczoną nieprawidłowość należy uznać za bezzasadną</w:t>
      </w:r>
      <w:r w:rsidR="00863779">
        <w:t xml:space="preserve">. Zgodnie z </w:t>
      </w:r>
      <w:r w:rsidR="00863779">
        <w:rPr>
          <w:rFonts w:cs="Calibri"/>
        </w:rPr>
        <w:t xml:space="preserve">§ </w:t>
      </w:r>
      <w:r w:rsidR="00863779">
        <w:t xml:space="preserve">6 ust. 1 Rozporządzenia </w:t>
      </w:r>
      <w:r w:rsidR="00E62E99">
        <w:br/>
      </w:r>
      <w:r w:rsidR="00863779">
        <w:t>o standardach:</w:t>
      </w:r>
    </w:p>
    <w:p w:rsidR="00863779" w:rsidRDefault="00863779" w:rsidP="00863779">
      <w:pPr>
        <w:ind w:left="1276" w:right="2125" w:firstLine="709"/>
        <w:jc w:val="both"/>
      </w:pPr>
      <w:r>
        <w:t>„</w:t>
      </w:r>
      <w:r w:rsidRPr="00E43979">
        <w:rPr>
          <w:i/>
        </w:rPr>
        <w:t xml:space="preserve">Przy wykonywaniu geodezyjnych pomiarów sytuacyjnych i wysokościowych wykorzystuje się materiały </w:t>
      </w:r>
      <w:proofErr w:type="spellStart"/>
      <w:r w:rsidRPr="00E43979">
        <w:rPr>
          <w:i/>
        </w:rPr>
        <w:t>PZGiK</w:t>
      </w:r>
      <w:proofErr w:type="spellEnd"/>
      <w:r w:rsidRPr="00E43979">
        <w:rPr>
          <w:i/>
        </w:rPr>
        <w:t>, jeżeli wyniki analizy tych materiałów, przeprowadzone przez wykonawcę prac geodezyjnych i kartograficznych, zwanego dalej „wykonawcą”, pod względem dokładności, aktualności i  kompletności, wskazują na ich przydatność do wykonania pomiarów</w:t>
      </w:r>
      <w:r w:rsidRPr="00E43979">
        <w:t>.</w:t>
      </w:r>
      <w:r>
        <w:t>”</w:t>
      </w:r>
    </w:p>
    <w:p w:rsidR="00BB7A9C" w:rsidRDefault="00863779" w:rsidP="00B24D27">
      <w:pPr>
        <w:ind w:firstLine="709"/>
        <w:jc w:val="both"/>
      </w:pPr>
      <w:r>
        <w:t>Udostępniona przez organ I instancji we wrześniu 2019 r. do realizacji przedmiotowej pracy geodezyjnej mapa zasadnicza (</w:t>
      </w:r>
      <w:r w:rsidRPr="00E62E99">
        <w:rPr>
          <w:b/>
        </w:rPr>
        <w:t xml:space="preserve">Załącznik nr 2 </w:t>
      </w:r>
      <w:r>
        <w:t>do stanowiska) nie posiada oznaczenia ulicy „</w:t>
      </w:r>
      <w:r w:rsidRPr="00E62E99">
        <w:rPr>
          <w:i/>
        </w:rPr>
        <w:t>Żukowicka</w:t>
      </w:r>
      <w:r>
        <w:t>”. Co więcej, takiego oznaczenia nie posiada również, udostępniana przez organ I instancji za pośrednictwem swojego portalu mapowego, aktualna mapa zasadnicza. W związku z czym, co najmniej dziwne jest stwierdzenie przez DWINGIK iż na opracowanej przez wykonawcę mapie do celów projektowych takiego oznakowania brakuje.</w:t>
      </w:r>
    </w:p>
    <w:p w:rsidR="00863779" w:rsidRDefault="00863779" w:rsidP="00B24D27">
      <w:pPr>
        <w:ind w:firstLine="709"/>
        <w:jc w:val="both"/>
        <w:rPr>
          <w:rFonts w:cs="Calibri"/>
        </w:rPr>
      </w:pPr>
      <w:r>
        <w:t>Niezależnie od powyższego, należy również zwrócić uwagę na to, że zgodnie z</w:t>
      </w:r>
      <w:r w:rsidR="00D868D7">
        <w:t xml:space="preserve"> informacją zawartą w tabeli opisu atrybutów (str.19)</w:t>
      </w:r>
      <w:r>
        <w:t xml:space="preserve"> </w:t>
      </w:r>
      <w:r w:rsidR="00D868D7">
        <w:rPr>
          <w:rFonts w:cs="Calibri"/>
        </w:rPr>
        <w:t>§ 10 Rozdziału 3 Załącznika nr 2 Rozporządzenia o BDOT pt. „</w:t>
      </w:r>
      <w:r w:rsidR="00D868D7" w:rsidRPr="00D868D7">
        <w:rPr>
          <w:rFonts w:cs="Calibri"/>
          <w:i/>
        </w:rPr>
        <w:t>Specyfikacja pojęciowego modelu danych dla BDOT500 - Katalog obiektów BDOT500</w:t>
      </w:r>
      <w:r w:rsidR="00D868D7">
        <w:rPr>
          <w:rFonts w:cs="Calibri"/>
        </w:rPr>
        <w:t>”:</w:t>
      </w:r>
    </w:p>
    <w:p w:rsidR="00D868D7" w:rsidRDefault="00D868D7" w:rsidP="00B24D27">
      <w:pPr>
        <w:ind w:firstLine="709"/>
        <w:jc w:val="center"/>
      </w:pPr>
      <w:r>
        <w:rPr>
          <w:noProof/>
          <w:lang w:eastAsia="pl-PL"/>
        </w:rPr>
        <w:drawing>
          <wp:inline distT="0" distB="0" distL="0" distR="0" wp14:anchorId="53BF6A67" wp14:editId="25A5FCA1">
            <wp:extent cx="4672940" cy="2039289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9344" cy="205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8D7" w:rsidRDefault="00D868D7" w:rsidP="00B24D27">
      <w:pPr>
        <w:ind w:firstLine="709"/>
        <w:jc w:val="both"/>
      </w:pPr>
      <w:r>
        <w:lastRenderedPageBreak/>
        <w:t>Zastosowane</w:t>
      </w:r>
      <w:r w:rsidR="00E62E99">
        <w:t>,</w:t>
      </w:r>
      <w:r>
        <w:t xml:space="preserve"> w zapisie powyżej</w:t>
      </w:r>
      <w:r w:rsidR="00E62E99">
        <w:t>,</w:t>
      </w:r>
      <w:r>
        <w:t xml:space="preserve"> przez ustawodawcę określenie „</w:t>
      </w:r>
      <w:r w:rsidRPr="00E62E99">
        <w:rPr>
          <w:i/>
        </w:rPr>
        <w:t>mogą</w:t>
      </w:r>
      <w:r>
        <w:t xml:space="preserve">” skutkuje tym, iż wszelkie elementy redakcyjne bazy BDOT500 są elementami fakultatywnymi mapy zasadniczej, w związku z czym treści te w ogóle nie powinny być przedmiotem weryfikacji. </w:t>
      </w:r>
    </w:p>
    <w:p w:rsidR="00B24D27" w:rsidRDefault="00B24D27" w:rsidP="00B24D27">
      <w:pPr>
        <w:ind w:firstLine="709"/>
        <w:jc w:val="both"/>
      </w:pPr>
      <w:r>
        <w:t xml:space="preserve">Ponadto, zgodnie z </w:t>
      </w:r>
      <w:r>
        <w:rPr>
          <w:rFonts w:cs="Calibri"/>
        </w:rPr>
        <w:t xml:space="preserve">§ </w:t>
      </w:r>
      <w:r>
        <w:t>72 Rozporządzenia o standardach:</w:t>
      </w:r>
    </w:p>
    <w:p w:rsidR="00B24D27" w:rsidRDefault="00B24D27" w:rsidP="00B24D27">
      <w:pPr>
        <w:ind w:left="1701" w:right="2834" w:firstLine="709"/>
        <w:jc w:val="both"/>
      </w:pPr>
      <w:r>
        <w:t>„</w:t>
      </w:r>
      <w:r w:rsidRPr="00B24D27">
        <w:rPr>
          <w:i/>
        </w:rPr>
        <w:t>Zakres, formę i treść dokumentów przeznaczonych  dla</w:t>
      </w:r>
      <w:r>
        <w:rPr>
          <w:i/>
        </w:rPr>
        <w:t xml:space="preserve"> </w:t>
      </w:r>
      <w:r w:rsidRPr="00B24D27">
        <w:rPr>
          <w:i/>
        </w:rPr>
        <w:t>zamawiającego</w:t>
      </w:r>
      <w:r>
        <w:rPr>
          <w:i/>
        </w:rPr>
        <w:t xml:space="preserve"> </w:t>
      </w:r>
      <w:r w:rsidRPr="00B24D27">
        <w:rPr>
          <w:i/>
        </w:rPr>
        <w:t>określa</w:t>
      </w:r>
      <w:r>
        <w:rPr>
          <w:i/>
        </w:rPr>
        <w:t xml:space="preserve"> </w:t>
      </w:r>
      <w:r w:rsidRPr="00B24D27">
        <w:rPr>
          <w:i/>
        </w:rPr>
        <w:t>umowa</w:t>
      </w:r>
      <w:r>
        <w:rPr>
          <w:i/>
        </w:rPr>
        <w:t xml:space="preserve"> </w:t>
      </w:r>
      <w:r w:rsidRPr="00B24D27">
        <w:rPr>
          <w:i/>
        </w:rPr>
        <w:t>zawarta</w:t>
      </w:r>
      <w:r>
        <w:rPr>
          <w:i/>
        </w:rPr>
        <w:t xml:space="preserve"> </w:t>
      </w:r>
      <w:r w:rsidRPr="00B24D27">
        <w:rPr>
          <w:i/>
        </w:rPr>
        <w:t>między zamawiającym a wykonawcą.</w:t>
      </w:r>
      <w:r>
        <w:t>”</w:t>
      </w:r>
    </w:p>
    <w:p w:rsidR="00B24D27" w:rsidRDefault="00B24D27" w:rsidP="00B24D27">
      <w:pPr>
        <w:ind w:firstLine="709"/>
        <w:jc w:val="both"/>
      </w:pPr>
      <w:r>
        <w:t xml:space="preserve">W związku z powyższym, w nawiązaniu do </w:t>
      </w:r>
      <w:r>
        <w:rPr>
          <w:rFonts w:cs="Calibri"/>
        </w:rPr>
        <w:t xml:space="preserve">§ 10 Rozdziału 3 Załącznika nr 2 Rozporządzenia o BDOT, </w:t>
      </w:r>
      <w:r w:rsidR="00E62E99">
        <w:rPr>
          <w:rFonts w:cs="Calibri"/>
        </w:rPr>
        <w:br/>
      </w:r>
      <w:r>
        <w:rPr>
          <w:rFonts w:cs="Calibri"/>
        </w:rPr>
        <w:t xml:space="preserve">na podstawie § </w:t>
      </w:r>
      <w:r>
        <w:t>72 Rozporządzenia o standardach</w:t>
      </w:r>
      <w:r w:rsidR="00E62E99">
        <w:t>,</w:t>
      </w:r>
      <w:r>
        <w:t xml:space="preserve"> informuję, że zgodnie z umową zawartą pomiędzy zamawiającym a wykonawcą, sporządzana w ramach niniejszej pracy geodezyjnej mapa do celów projektowych, dla zachowania czytelności</w:t>
      </w:r>
      <w:r w:rsidR="00E62E99">
        <w:t>,</w:t>
      </w:r>
      <w:r>
        <w:t xml:space="preserve"> nie powinna zawierać opisu ulicy „</w:t>
      </w:r>
      <w:r w:rsidRPr="00E62E99">
        <w:rPr>
          <w:i/>
        </w:rPr>
        <w:t>Żukowicka</w:t>
      </w:r>
      <w:r>
        <w:t>” oraz opisu działki nr 542/1.</w:t>
      </w:r>
    </w:p>
    <w:p w:rsidR="00B24D27" w:rsidRDefault="00B24D27" w:rsidP="00B24D27">
      <w:pPr>
        <w:ind w:firstLine="709"/>
        <w:jc w:val="both"/>
      </w:pPr>
      <w:r>
        <w:t>W związku z powyższym, należy stwierdzić, iż brak jest podstaw do odmowy przyjęcia przedmiotowej dokumentacji do PZGIK na podstawie przywołanej w punkcie II.6. protokołu weryfikacji, informacji o zakresie nieprawidłowości.</w:t>
      </w:r>
    </w:p>
    <w:p w:rsidR="00EB68B1" w:rsidRDefault="00EB68B1" w:rsidP="00B24D27">
      <w:pPr>
        <w:ind w:firstLine="709"/>
        <w:jc w:val="both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13183</wp:posOffset>
                </wp:positionH>
                <wp:positionV relativeFrom="paragraph">
                  <wp:posOffset>86792</wp:posOffset>
                </wp:positionV>
                <wp:extent cx="6247180" cy="0"/>
                <wp:effectExtent l="0" t="0" r="20320" b="19050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7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A8D2C" id="Łącznik prosty 1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05pt,6.85pt" to="492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EB68B1" w:rsidRDefault="00EB68B1" w:rsidP="00B24D27">
      <w:pPr>
        <w:ind w:firstLine="709"/>
        <w:jc w:val="both"/>
      </w:pPr>
      <w:r>
        <w:t>Podsumowując, jak wykazano p</w:t>
      </w:r>
      <w:bookmarkStart w:id="0" w:name="_GoBack"/>
      <w:bookmarkEnd w:id="0"/>
      <w:r>
        <w:t xml:space="preserve">owyżej, DWINGIK nie wykazał w protokole weryfikacji żadnych zasadnych nieprawidłowości, uniemożliwiających przyjęcie do PZGIK zbiorów danych lub innych materiałów sporządzonych przez wykonawcę w ramach przedmiotowej pracy geodezyjnej. W związku z tym, wnoszę </w:t>
      </w:r>
      <w:r w:rsidR="00087B77">
        <w:br/>
      </w:r>
      <w:r>
        <w:t>o</w:t>
      </w:r>
      <w:r w:rsidR="00087B77">
        <w:t xml:space="preserve"> uchylenie zaskarżonej decyzji Starosty Głogowskiego i przekazanie sprawy do ponownego rozpatrzenia organowi I instancji.</w:t>
      </w:r>
    </w:p>
    <w:p w:rsidR="004A1127" w:rsidRDefault="004A1127" w:rsidP="004A1127">
      <w:pPr>
        <w:ind w:firstLine="709"/>
        <w:jc w:val="both"/>
      </w:pPr>
    </w:p>
    <w:tbl>
      <w:tblPr>
        <w:tblW w:w="9951" w:type="dxa"/>
        <w:tblInd w:w="250" w:type="dxa"/>
        <w:tblLook w:val="01E0" w:firstRow="1" w:lastRow="1" w:firstColumn="1" w:lastColumn="1" w:noHBand="0" w:noVBand="0"/>
      </w:tblPr>
      <w:tblGrid>
        <w:gridCol w:w="4253"/>
        <w:gridCol w:w="5698"/>
      </w:tblGrid>
      <w:tr w:rsidR="00E84EC3" w:rsidRPr="00A60BA0" w:rsidTr="00087B77">
        <w:trPr>
          <w:trHeight w:val="514"/>
        </w:trPr>
        <w:tc>
          <w:tcPr>
            <w:tcW w:w="4253" w:type="dxa"/>
          </w:tcPr>
          <w:p w:rsidR="00E84EC3" w:rsidRPr="00783E8D" w:rsidRDefault="00E84EC3" w:rsidP="00C1215B">
            <w:pPr>
              <w:pStyle w:val="NormalnyWeb"/>
              <w:spacing w:before="0" w:after="0" w:line="360" w:lineRule="auto"/>
              <w:rPr>
                <w:sz w:val="16"/>
              </w:rPr>
            </w:pPr>
          </w:p>
        </w:tc>
        <w:tc>
          <w:tcPr>
            <w:tcW w:w="5698" w:type="dxa"/>
            <w:vAlign w:val="center"/>
          </w:tcPr>
          <w:p w:rsidR="00E84EC3" w:rsidRPr="00F456B7" w:rsidRDefault="00E84EC3" w:rsidP="00C1215B">
            <w:pPr>
              <w:pStyle w:val="NormalnyWeb"/>
              <w:spacing w:after="0" w:line="360" w:lineRule="auto"/>
              <w:ind w:left="510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Z poważaniem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br/>
            </w:r>
            <w:r w:rsidR="00F8479F" w:rsidRPr="00F8479F">
              <w:rPr>
                <w:rFonts w:ascii="Calibri" w:hAnsi="Calibri" w:cs="Calibri"/>
                <w:bCs/>
                <w:noProof/>
                <w:sz w:val="18"/>
                <w:szCs w:val="18"/>
              </w:rPr>
              <w:drawing>
                <wp:inline distT="0" distB="0" distL="0" distR="0" wp14:anchorId="4A26AF36" wp14:editId="491C885A">
                  <wp:extent cx="1314000" cy="504000"/>
                  <wp:effectExtent l="0" t="0" r="635" b="0"/>
                  <wp:docPr id="20" name="Obraz 20" descr="D:\Nextcloud\ADMINISTRACJA\PIECZĄTKI\Krzysztof Geospot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extcloud\ADMINISTRACJA\PIECZĄTKI\Krzysztof Geospot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4EC3" w:rsidRDefault="00E84EC3"/>
    <w:p w:rsidR="00087B77" w:rsidRDefault="00087B77"/>
    <w:p w:rsidR="00087B77" w:rsidRDefault="00087B77"/>
    <w:p w:rsidR="00087B77" w:rsidRDefault="00087B77">
      <w:r>
        <w:t>Załączniki:</w:t>
      </w:r>
    </w:p>
    <w:p w:rsidR="00087B77" w:rsidRDefault="003959B9" w:rsidP="00087B77">
      <w:pPr>
        <w:pStyle w:val="Akapitzlist"/>
        <w:numPr>
          <w:ilvl w:val="0"/>
          <w:numId w:val="37"/>
        </w:numPr>
      </w:pPr>
      <w:r>
        <w:t>Wykaz współrzędnych punktów osnowy geodezyjnej,</w:t>
      </w:r>
    </w:p>
    <w:p w:rsidR="003959B9" w:rsidRDefault="003959B9" w:rsidP="003959B9">
      <w:pPr>
        <w:pStyle w:val="Akapitzlist"/>
        <w:numPr>
          <w:ilvl w:val="0"/>
          <w:numId w:val="37"/>
        </w:numPr>
        <w:spacing w:after="240"/>
        <w:ind w:left="714" w:hanging="357"/>
      </w:pPr>
      <w:r>
        <w:t>Kopia mapy zasadniczej udostępniona przez organ I instancji.</w:t>
      </w:r>
    </w:p>
    <w:p w:rsidR="003959B9" w:rsidRPr="0041613C" w:rsidRDefault="003959B9" w:rsidP="003959B9">
      <w:r>
        <w:t xml:space="preserve">Załączniki w formie </w:t>
      </w:r>
      <w:r w:rsidR="00F8479F">
        <w:t>elektronicznej</w:t>
      </w:r>
      <w:r>
        <w:t xml:space="preserve"> udostępnione są pod adresem: </w:t>
      </w:r>
      <w:hyperlink r:id="rId20" w:history="1">
        <w:r w:rsidRPr="00895010">
          <w:rPr>
            <w:rStyle w:val="Hipercze"/>
          </w:rPr>
          <w:t>https://cubiccloud.pl/index.php/s/agjiXQkrkzfnySt</w:t>
        </w:r>
      </w:hyperlink>
      <w:r>
        <w:t xml:space="preserve"> </w:t>
      </w:r>
    </w:p>
    <w:sectPr w:rsidR="003959B9" w:rsidRPr="0041613C" w:rsidSect="00E62E99">
      <w:headerReference w:type="default" r:id="rId21"/>
      <w:footerReference w:type="default" r:id="rId22"/>
      <w:pgSz w:w="11906" w:h="16838"/>
      <w:pgMar w:top="-1843" w:right="991" w:bottom="1417" w:left="993" w:header="426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3B2" w:rsidRDefault="002563B2">
      <w:pPr>
        <w:spacing w:after="0" w:line="240" w:lineRule="auto"/>
      </w:pPr>
      <w:r>
        <w:separator/>
      </w:r>
    </w:p>
  </w:endnote>
  <w:endnote w:type="continuationSeparator" w:id="0">
    <w:p w:rsidR="002563B2" w:rsidRDefault="00256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196" w:type="dxa"/>
      <w:tblBorders>
        <w:insideV w:val="single" w:sz="12" w:space="0" w:color="1F497D"/>
      </w:tblBorders>
      <w:tblLook w:val="04A0" w:firstRow="1" w:lastRow="0" w:firstColumn="1" w:lastColumn="0" w:noHBand="0" w:noVBand="1"/>
    </w:tblPr>
    <w:tblGrid>
      <w:gridCol w:w="2376"/>
      <w:gridCol w:w="4820"/>
    </w:tblGrid>
    <w:tr w:rsidR="00B5230E" w:rsidRPr="005E0D4A" w:rsidTr="0068576E">
      <w:trPr>
        <w:trHeight w:val="709"/>
      </w:trPr>
      <w:tc>
        <w:tcPr>
          <w:tcW w:w="2376" w:type="dxa"/>
        </w:tcPr>
        <w:p w:rsidR="00B5230E" w:rsidRPr="005E0D4A" w:rsidRDefault="003B729F" w:rsidP="00FC5CAD">
          <w:pPr>
            <w:pStyle w:val="Stopka"/>
            <w:jc w:val="right"/>
            <w:rPr>
              <w:sz w:val="18"/>
              <w:szCs w:val="18"/>
            </w:rPr>
          </w:pPr>
          <w:r w:rsidRPr="00B5230E">
            <w:rPr>
              <w:sz w:val="18"/>
              <w:szCs w:val="18"/>
            </w:rPr>
            <w:t>Numer KRS: 0000761654</w:t>
          </w:r>
          <w:r>
            <w:rPr>
              <w:sz w:val="18"/>
              <w:szCs w:val="18"/>
            </w:rPr>
            <w:br/>
          </w:r>
          <w:r w:rsidRPr="00B5230E">
            <w:rPr>
              <w:sz w:val="18"/>
              <w:szCs w:val="18"/>
            </w:rPr>
            <w:t xml:space="preserve">NIP: 8842794921 </w:t>
          </w:r>
          <w:r>
            <w:rPr>
              <w:sz w:val="18"/>
              <w:szCs w:val="18"/>
            </w:rPr>
            <w:br/>
          </w:r>
          <w:r w:rsidRPr="00B5230E">
            <w:rPr>
              <w:sz w:val="18"/>
              <w:szCs w:val="18"/>
            </w:rPr>
            <w:t>REGON: 382009077</w:t>
          </w:r>
        </w:p>
      </w:tc>
      <w:tc>
        <w:tcPr>
          <w:tcW w:w="4820" w:type="dxa"/>
        </w:tcPr>
        <w:p w:rsidR="00B5230E" w:rsidRDefault="003B729F" w:rsidP="007F4510">
          <w:pPr>
            <w:pStyle w:val="Stopka"/>
            <w:rPr>
              <w:sz w:val="18"/>
              <w:szCs w:val="18"/>
            </w:rPr>
          </w:pPr>
          <w:r w:rsidRPr="00B5230E">
            <w:rPr>
              <w:sz w:val="18"/>
              <w:szCs w:val="18"/>
            </w:rPr>
            <w:t>Sąd rejestrowy: Sąd Rejon</w:t>
          </w:r>
          <w:r>
            <w:rPr>
              <w:sz w:val="18"/>
              <w:szCs w:val="18"/>
            </w:rPr>
            <w:t>owy dla Wrocławia – Fabrycznej,</w:t>
          </w:r>
          <w:r>
            <w:rPr>
              <w:sz w:val="18"/>
              <w:szCs w:val="18"/>
            </w:rPr>
            <w:br/>
          </w:r>
          <w:r w:rsidRPr="00B5230E">
            <w:rPr>
              <w:sz w:val="18"/>
              <w:szCs w:val="18"/>
            </w:rPr>
            <w:t xml:space="preserve">IX Wydział Gospodarczy KRS </w:t>
          </w:r>
        </w:p>
        <w:p w:rsidR="00ED43BD" w:rsidRPr="005E0D4A" w:rsidRDefault="003B729F" w:rsidP="00EA3C34">
          <w:pPr>
            <w:pStyle w:val="Stopka"/>
          </w:pPr>
          <w:r>
            <w:rPr>
              <w:sz w:val="18"/>
              <w:szCs w:val="18"/>
            </w:rPr>
            <w:t xml:space="preserve">Kapitał zakładowy: </w:t>
          </w:r>
          <w:r w:rsidR="00EA3C34">
            <w:rPr>
              <w:sz w:val="18"/>
              <w:szCs w:val="18"/>
            </w:rPr>
            <w:t>9 0</w:t>
          </w:r>
          <w:r>
            <w:rPr>
              <w:sz w:val="18"/>
              <w:szCs w:val="18"/>
            </w:rPr>
            <w:t>00 zł</w:t>
          </w:r>
        </w:p>
      </w:tc>
    </w:tr>
  </w:tbl>
  <w:p w:rsidR="00627E89" w:rsidRDefault="000378C1" w:rsidP="000378C1">
    <w:pPr>
      <w:pStyle w:val="Stopka"/>
      <w:jc w:val="center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F8479F">
      <w:rPr>
        <w:b/>
        <w:bCs/>
        <w:noProof/>
      </w:rPr>
      <w:t>8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F8479F">
      <w:rPr>
        <w:b/>
        <w:bCs/>
        <w:noProof/>
      </w:rPr>
      <w:t>12</w:t>
    </w:r>
    <w:r>
      <w:rPr>
        <w:b/>
        <w:bCs/>
      </w:rPr>
      <w:fldChar w:fldCharType="end"/>
    </w:r>
    <w:r w:rsidR="004A519F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0EFB9C4" wp14:editId="77B65730">
          <wp:simplePos x="0" y="0"/>
          <wp:positionH relativeFrom="column">
            <wp:posOffset>5859780</wp:posOffset>
          </wp:positionH>
          <wp:positionV relativeFrom="paragraph">
            <wp:posOffset>-413649</wp:posOffset>
          </wp:positionV>
          <wp:extent cx="619125" cy="549275"/>
          <wp:effectExtent l="0" t="0" r="9525" b="3175"/>
          <wp:wrapNone/>
          <wp:docPr id="17" name="Obraz 1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54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3B2" w:rsidRDefault="002563B2">
      <w:pPr>
        <w:spacing w:after="0" w:line="240" w:lineRule="auto"/>
      </w:pPr>
      <w:r>
        <w:separator/>
      </w:r>
    </w:p>
  </w:footnote>
  <w:footnote w:type="continuationSeparator" w:id="0">
    <w:p w:rsidR="002563B2" w:rsidRDefault="00256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98" w:type="dxa"/>
      <w:tblInd w:w="-426" w:type="dxa"/>
      <w:tblLayout w:type="fixed"/>
      <w:tblLook w:val="04A0" w:firstRow="1" w:lastRow="0" w:firstColumn="1" w:lastColumn="0" w:noHBand="0" w:noVBand="1"/>
    </w:tblPr>
    <w:tblGrid>
      <w:gridCol w:w="3936"/>
      <w:gridCol w:w="4678"/>
      <w:gridCol w:w="1984"/>
    </w:tblGrid>
    <w:tr w:rsidR="000246AC" w:rsidRPr="005E0D4A" w:rsidTr="00440454">
      <w:trPr>
        <w:trHeight w:val="80"/>
      </w:trPr>
      <w:tc>
        <w:tcPr>
          <w:tcW w:w="3936" w:type="dxa"/>
          <w:vMerge w:val="restart"/>
        </w:tcPr>
        <w:p w:rsidR="000246AC" w:rsidRPr="005E0D4A" w:rsidRDefault="003B729F" w:rsidP="00627E89">
          <w:pPr>
            <w:pStyle w:val="Nagwek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7AE3938D" wp14:editId="07A06FDA">
                <wp:simplePos x="0" y="0"/>
                <wp:positionH relativeFrom="margin">
                  <wp:posOffset>-1905</wp:posOffset>
                </wp:positionH>
                <wp:positionV relativeFrom="paragraph">
                  <wp:posOffset>133350</wp:posOffset>
                </wp:positionV>
                <wp:extent cx="2277110" cy="496570"/>
                <wp:effectExtent l="0" t="0" r="8890" b="0"/>
                <wp:wrapNone/>
                <wp:docPr id="14" name="Obraz 14" descr="D:\Nextcloud\MARKETING\_Dla Natalii\Ulotka Satlab\Logo_CubicO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D:\Nextcloud\MARKETING\_Dla Natalii\Ulotka Satlab\Logo_CubicO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711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678" w:type="dxa"/>
          <w:vAlign w:val="bottom"/>
        </w:tcPr>
        <w:p w:rsidR="000246AC" w:rsidRPr="005E0D4A" w:rsidRDefault="002563B2" w:rsidP="005E0D4A">
          <w:pPr>
            <w:pStyle w:val="Nagwek"/>
            <w:jc w:val="right"/>
            <w:rPr>
              <w:sz w:val="18"/>
              <w:szCs w:val="18"/>
            </w:rPr>
          </w:pPr>
        </w:p>
      </w:tc>
      <w:tc>
        <w:tcPr>
          <w:tcW w:w="1984" w:type="dxa"/>
          <w:vAlign w:val="bottom"/>
        </w:tcPr>
        <w:p w:rsidR="000246AC" w:rsidRPr="005E0D4A" w:rsidRDefault="002563B2" w:rsidP="00ED3639">
          <w:pPr>
            <w:pStyle w:val="Nagwek"/>
            <w:rPr>
              <w:b/>
              <w:color w:val="00B0F0"/>
              <w:sz w:val="18"/>
              <w:szCs w:val="18"/>
            </w:rPr>
          </w:pPr>
        </w:p>
      </w:tc>
    </w:tr>
    <w:tr w:rsidR="000246AC" w:rsidRPr="005E0D4A" w:rsidTr="00440454">
      <w:trPr>
        <w:trHeight w:val="80"/>
      </w:trPr>
      <w:tc>
        <w:tcPr>
          <w:tcW w:w="3936" w:type="dxa"/>
          <w:vMerge/>
        </w:tcPr>
        <w:p w:rsidR="000246AC" w:rsidRPr="005E0D4A" w:rsidRDefault="002563B2" w:rsidP="00627E89">
          <w:pPr>
            <w:pStyle w:val="Nagwek"/>
            <w:rPr>
              <w:noProof/>
              <w:lang w:eastAsia="pl-PL"/>
            </w:rPr>
          </w:pPr>
        </w:p>
      </w:tc>
      <w:tc>
        <w:tcPr>
          <w:tcW w:w="4678" w:type="dxa"/>
          <w:tcBorders>
            <w:bottom w:val="single" w:sz="12" w:space="0" w:color="548DD4"/>
            <w:right w:val="single" w:sz="12" w:space="0" w:color="548DD4"/>
          </w:tcBorders>
          <w:vAlign w:val="bottom"/>
        </w:tcPr>
        <w:p w:rsidR="000246AC" w:rsidRPr="001755A2" w:rsidRDefault="00045E90" w:rsidP="00045E90">
          <w:pPr>
            <w:pStyle w:val="Nagwek"/>
            <w:jc w:val="right"/>
            <w:rPr>
              <w:rFonts w:cs="Calibri"/>
              <w:b/>
              <w:sz w:val="18"/>
              <w:szCs w:val="18"/>
            </w:rPr>
          </w:pPr>
          <w:proofErr w:type="spellStart"/>
          <w:r>
            <w:rPr>
              <w:rFonts w:eastAsia="Times New Roman" w:cs="Calibri"/>
              <w:b/>
              <w:color w:val="222222"/>
              <w:sz w:val="18"/>
              <w:szCs w:val="18"/>
              <w:lang w:eastAsia="pl-PL"/>
            </w:rPr>
            <w:t>Cubic</w:t>
          </w:r>
          <w:proofErr w:type="spellEnd"/>
          <w:r>
            <w:rPr>
              <w:rFonts w:eastAsia="Times New Roman" w:cs="Calibri"/>
              <w:b/>
              <w:color w:val="222222"/>
              <w:sz w:val="18"/>
              <w:szCs w:val="18"/>
              <w:lang w:eastAsia="pl-PL"/>
            </w:rPr>
            <w:t xml:space="preserve"> </w:t>
          </w:r>
          <w:proofErr w:type="spellStart"/>
          <w:r>
            <w:rPr>
              <w:rFonts w:eastAsia="Times New Roman" w:cs="Calibri"/>
              <w:b/>
              <w:color w:val="222222"/>
              <w:sz w:val="18"/>
              <w:szCs w:val="18"/>
              <w:lang w:eastAsia="pl-PL"/>
            </w:rPr>
            <w:t>Orb</w:t>
          </w:r>
          <w:proofErr w:type="spellEnd"/>
          <w:r>
            <w:rPr>
              <w:rFonts w:eastAsia="Times New Roman" w:cs="Calibri"/>
              <w:b/>
              <w:color w:val="222222"/>
              <w:sz w:val="18"/>
              <w:szCs w:val="18"/>
              <w:lang w:eastAsia="pl-PL"/>
            </w:rPr>
            <w:t xml:space="preserve"> sp. z o.o.</w:t>
          </w:r>
        </w:p>
      </w:tc>
      <w:tc>
        <w:tcPr>
          <w:tcW w:w="1984" w:type="dxa"/>
          <w:tcBorders>
            <w:left w:val="single" w:sz="12" w:space="0" w:color="548DD4"/>
            <w:bottom w:val="single" w:sz="12" w:space="0" w:color="548DD4"/>
          </w:tcBorders>
          <w:vAlign w:val="bottom"/>
        </w:tcPr>
        <w:p w:rsidR="000246AC" w:rsidRPr="001755A2" w:rsidRDefault="003B729F" w:rsidP="00045E90">
          <w:pPr>
            <w:pStyle w:val="Nagwek"/>
            <w:rPr>
              <w:rFonts w:cs="Calibri"/>
              <w:b/>
              <w:sz w:val="18"/>
              <w:szCs w:val="18"/>
            </w:rPr>
          </w:pPr>
          <w:r w:rsidRPr="001755A2">
            <w:rPr>
              <w:rFonts w:cs="Calibri"/>
              <w:b/>
              <w:sz w:val="18"/>
              <w:szCs w:val="18"/>
            </w:rPr>
            <w:t>www.</w:t>
          </w:r>
          <w:r w:rsidR="00045E90">
            <w:rPr>
              <w:rFonts w:cs="Calibri"/>
              <w:b/>
              <w:sz w:val="18"/>
              <w:szCs w:val="18"/>
            </w:rPr>
            <w:t>geo-spot</w:t>
          </w:r>
          <w:r w:rsidRPr="001755A2">
            <w:rPr>
              <w:rFonts w:cs="Calibri"/>
              <w:b/>
              <w:sz w:val="18"/>
              <w:szCs w:val="18"/>
            </w:rPr>
            <w:t>.</w:t>
          </w:r>
          <w:r w:rsidR="00045E90">
            <w:rPr>
              <w:rFonts w:cs="Calibri"/>
              <w:b/>
              <w:sz w:val="18"/>
              <w:szCs w:val="18"/>
            </w:rPr>
            <w:t>pl</w:t>
          </w:r>
        </w:p>
      </w:tc>
    </w:tr>
    <w:tr w:rsidR="000246AC" w:rsidRPr="005E0D4A" w:rsidTr="00440454">
      <w:trPr>
        <w:trHeight w:val="450"/>
      </w:trPr>
      <w:tc>
        <w:tcPr>
          <w:tcW w:w="3936" w:type="dxa"/>
          <w:vMerge/>
        </w:tcPr>
        <w:p w:rsidR="000246AC" w:rsidRPr="005E0D4A" w:rsidRDefault="002563B2" w:rsidP="00627E89">
          <w:pPr>
            <w:pStyle w:val="Nagwek"/>
            <w:rPr>
              <w:noProof/>
              <w:lang w:eastAsia="pl-PL"/>
            </w:rPr>
          </w:pPr>
        </w:p>
      </w:tc>
      <w:tc>
        <w:tcPr>
          <w:tcW w:w="4678" w:type="dxa"/>
          <w:tcBorders>
            <w:top w:val="single" w:sz="12" w:space="0" w:color="548DD4"/>
            <w:right w:val="single" w:sz="12" w:space="0" w:color="548DD4"/>
          </w:tcBorders>
        </w:tcPr>
        <w:p w:rsidR="000246AC" w:rsidRPr="001755A2" w:rsidRDefault="00045E90" w:rsidP="005E0D4A">
          <w:pPr>
            <w:pStyle w:val="Nagwek"/>
            <w:jc w:val="right"/>
            <w:rPr>
              <w:rFonts w:cs="Calibri"/>
              <w:sz w:val="18"/>
              <w:szCs w:val="18"/>
            </w:rPr>
          </w:pPr>
          <w:r>
            <w:rPr>
              <w:rFonts w:cs="Calibri"/>
              <w:sz w:val="18"/>
              <w:szCs w:val="18"/>
            </w:rPr>
            <w:t>50-020 Wrocław</w:t>
          </w:r>
        </w:p>
        <w:p w:rsidR="000246AC" w:rsidRPr="001755A2" w:rsidRDefault="003B729F" w:rsidP="00045E90">
          <w:pPr>
            <w:pStyle w:val="Nagwek"/>
            <w:jc w:val="right"/>
            <w:rPr>
              <w:rFonts w:cs="Calibri"/>
              <w:sz w:val="18"/>
              <w:szCs w:val="18"/>
            </w:rPr>
          </w:pPr>
          <w:r w:rsidRPr="001755A2">
            <w:rPr>
              <w:rFonts w:cs="Calibri"/>
              <w:sz w:val="18"/>
              <w:szCs w:val="18"/>
            </w:rPr>
            <w:t xml:space="preserve">ul. </w:t>
          </w:r>
          <w:r w:rsidR="00045E90">
            <w:rPr>
              <w:rFonts w:cs="Calibri"/>
              <w:sz w:val="18"/>
              <w:szCs w:val="18"/>
            </w:rPr>
            <w:t>Piłsudskiego 74/320</w:t>
          </w:r>
        </w:p>
      </w:tc>
      <w:tc>
        <w:tcPr>
          <w:tcW w:w="1984" w:type="dxa"/>
          <w:tcBorders>
            <w:top w:val="single" w:sz="12" w:space="0" w:color="548DD4"/>
            <w:left w:val="single" w:sz="12" w:space="0" w:color="548DD4"/>
          </w:tcBorders>
        </w:tcPr>
        <w:p w:rsidR="006A09B2" w:rsidRPr="001755A2" w:rsidRDefault="003B729F" w:rsidP="00627E89">
          <w:pPr>
            <w:pStyle w:val="Nagwek"/>
            <w:rPr>
              <w:rFonts w:cs="Calibri"/>
              <w:sz w:val="18"/>
              <w:szCs w:val="18"/>
            </w:rPr>
          </w:pPr>
          <w:r w:rsidRPr="001755A2">
            <w:rPr>
              <w:rFonts w:cs="Calibri"/>
              <w:sz w:val="18"/>
              <w:szCs w:val="18"/>
            </w:rPr>
            <w:t>+48 79</w:t>
          </w:r>
          <w:r w:rsidR="006E3052">
            <w:rPr>
              <w:rFonts w:cs="Calibri"/>
              <w:sz w:val="18"/>
              <w:szCs w:val="18"/>
            </w:rPr>
            <w:t>2</w:t>
          </w:r>
          <w:r w:rsidRPr="001755A2">
            <w:rPr>
              <w:rFonts w:cs="Calibri"/>
              <w:sz w:val="18"/>
              <w:szCs w:val="18"/>
            </w:rPr>
            <w:t xml:space="preserve"> </w:t>
          </w:r>
          <w:r w:rsidR="006E3052">
            <w:rPr>
              <w:rFonts w:cs="Calibri"/>
              <w:sz w:val="18"/>
              <w:szCs w:val="18"/>
            </w:rPr>
            <w:t>2</w:t>
          </w:r>
          <w:r w:rsidRPr="001755A2">
            <w:rPr>
              <w:rFonts w:cs="Calibri"/>
              <w:sz w:val="18"/>
              <w:szCs w:val="18"/>
            </w:rPr>
            <w:t>29 899</w:t>
          </w:r>
        </w:p>
        <w:p w:rsidR="000246AC" w:rsidRPr="001755A2" w:rsidRDefault="003B729F" w:rsidP="00045E90">
          <w:pPr>
            <w:pStyle w:val="Nagwek"/>
            <w:rPr>
              <w:rFonts w:cs="Calibri"/>
              <w:sz w:val="18"/>
              <w:szCs w:val="18"/>
            </w:rPr>
          </w:pPr>
          <w:r w:rsidRPr="001755A2">
            <w:rPr>
              <w:rFonts w:cs="Calibri"/>
              <w:sz w:val="18"/>
              <w:szCs w:val="18"/>
            </w:rPr>
            <w:t>biuro@</w:t>
          </w:r>
          <w:r w:rsidR="00045E90">
            <w:rPr>
              <w:rFonts w:cs="Calibri"/>
              <w:sz w:val="18"/>
              <w:szCs w:val="18"/>
            </w:rPr>
            <w:t>geo-spot.pl</w:t>
          </w:r>
        </w:p>
      </w:tc>
    </w:tr>
    <w:tr w:rsidR="000246AC" w:rsidRPr="005E0D4A" w:rsidTr="00440454">
      <w:trPr>
        <w:trHeight w:val="138"/>
      </w:trPr>
      <w:tc>
        <w:tcPr>
          <w:tcW w:w="3936" w:type="dxa"/>
          <w:vMerge/>
        </w:tcPr>
        <w:p w:rsidR="000246AC" w:rsidRPr="005E0D4A" w:rsidRDefault="002563B2" w:rsidP="00627E89">
          <w:pPr>
            <w:pStyle w:val="Nagwek"/>
            <w:rPr>
              <w:noProof/>
              <w:lang w:eastAsia="pl-PL"/>
            </w:rPr>
          </w:pPr>
        </w:p>
      </w:tc>
      <w:tc>
        <w:tcPr>
          <w:tcW w:w="4678" w:type="dxa"/>
        </w:tcPr>
        <w:p w:rsidR="000246AC" w:rsidRPr="005E0D4A" w:rsidRDefault="002563B2" w:rsidP="005E0D4A">
          <w:pPr>
            <w:pStyle w:val="Nagwek"/>
            <w:jc w:val="right"/>
            <w:rPr>
              <w:sz w:val="18"/>
              <w:szCs w:val="18"/>
            </w:rPr>
          </w:pPr>
        </w:p>
      </w:tc>
      <w:tc>
        <w:tcPr>
          <w:tcW w:w="1984" w:type="dxa"/>
        </w:tcPr>
        <w:p w:rsidR="000246AC" w:rsidRPr="005E0D4A" w:rsidRDefault="002563B2" w:rsidP="00627E89">
          <w:pPr>
            <w:pStyle w:val="Nagwek"/>
            <w:rPr>
              <w:sz w:val="18"/>
              <w:szCs w:val="18"/>
            </w:rPr>
          </w:pPr>
        </w:p>
      </w:tc>
    </w:tr>
  </w:tbl>
  <w:p w:rsidR="00627E89" w:rsidRPr="00B07554" w:rsidRDefault="002563B2" w:rsidP="00B07554">
    <w:pPr>
      <w:pStyle w:val="Nagwek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283A"/>
    <w:multiLevelType w:val="multilevel"/>
    <w:tmpl w:val="E40423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25C1FCD"/>
    <w:multiLevelType w:val="hybridMultilevel"/>
    <w:tmpl w:val="1C0C3B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068F4"/>
    <w:multiLevelType w:val="multilevel"/>
    <w:tmpl w:val="E40423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62D2EDD"/>
    <w:multiLevelType w:val="hybridMultilevel"/>
    <w:tmpl w:val="D4F8DE4A"/>
    <w:lvl w:ilvl="0" w:tplc="B5DA17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D34270F"/>
    <w:multiLevelType w:val="hybridMultilevel"/>
    <w:tmpl w:val="404AB6D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301592"/>
    <w:multiLevelType w:val="hybridMultilevel"/>
    <w:tmpl w:val="D7C070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3B3DF0"/>
    <w:multiLevelType w:val="hybridMultilevel"/>
    <w:tmpl w:val="566A9F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03182"/>
    <w:multiLevelType w:val="hybridMultilevel"/>
    <w:tmpl w:val="B51C73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D605C9"/>
    <w:multiLevelType w:val="hybridMultilevel"/>
    <w:tmpl w:val="EB9C58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E11F3"/>
    <w:multiLevelType w:val="hybridMultilevel"/>
    <w:tmpl w:val="311EA4F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567B0"/>
    <w:multiLevelType w:val="hybridMultilevel"/>
    <w:tmpl w:val="F8D467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370A1"/>
    <w:multiLevelType w:val="hybridMultilevel"/>
    <w:tmpl w:val="3526635A"/>
    <w:lvl w:ilvl="0" w:tplc="0415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2" w15:restartNumberingAfterBreak="0">
    <w:nsid w:val="27A948C0"/>
    <w:multiLevelType w:val="hybridMultilevel"/>
    <w:tmpl w:val="2B7EF8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6587C"/>
    <w:multiLevelType w:val="hybridMultilevel"/>
    <w:tmpl w:val="86A4A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D94A61"/>
    <w:multiLevelType w:val="hybridMultilevel"/>
    <w:tmpl w:val="074AEB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B10091"/>
    <w:multiLevelType w:val="hybridMultilevel"/>
    <w:tmpl w:val="617C6A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60AC9"/>
    <w:multiLevelType w:val="multilevel"/>
    <w:tmpl w:val="E40423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7" w15:restartNumberingAfterBreak="0">
    <w:nsid w:val="3D617B14"/>
    <w:multiLevelType w:val="hybridMultilevel"/>
    <w:tmpl w:val="8D8A8BF4"/>
    <w:lvl w:ilvl="0" w:tplc="04150011">
      <w:start w:val="1"/>
      <w:numFmt w:val="decimal"/>
      <w:lvlText w:val="%1)"/>
      <w:lvlJc w:val="left"/>
      <w:pPr>
        <w:ind w:left="58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01" w:hanging="360"/>
      </w:pPr>
    </w:lvl>
    <w:lvl w:ilvl="2" w:tplc="0415001B" w:tentative="1">
      <w:start w:val="1"/>
      <w:numFmt w:val="lowerRoman"/>
      <w:lvlText w:val="%3."/>
      <w:lvlJc w:val="right"/>
      <w:pPr>
        <w:ind w:left="2021" w:hanging="180"/>
      </w:pPr>
    </w:lvl>
    <w:lvl w:ilvl="3" w:tplc="0415000F" w:tentative="1">
      <w:start w:val="1"/>
      <w:numFmt w:val="decimal"/>
      <w:lvlText w:val="%4."/>
      <w:lvlJc w:val="left"/>
      <w:pPr>
        <w:ind w:left="2741" w:hanging="360"/>
      </w:pPr>
    </w:lvl>
    <w:lvl w:ilvl="4" w:tplc="04150019" w:tentative="1">
      <w:start w:val="1"/>
      <w:numFmt w:val="lowerLetter"/>
      <w:lvlText w:val="%5."/>
      <w:lvlJc w:val="left"/>
      <w:pPr>
        <w:ind w:left="3461" w:hanging="360"/>
      </w:pPr>
    </w:lvl>
    <w:lvl w:ilvl="5" w:tplc="0415001B" w:tentative="1">
      <w:start w:val="1"/>
      <w:numFmt w:val="lowerRoman"/>
      <w:lvlText w:val="%6."/>
      <w:lvlJc w:val="right"/>
      <w:pPr>
        <w:ind w:left="4181" w:hanging="180"/>
      </w:pPr>
    </w:lvl>
    <w:lvl w:ilvl="6" w:tplc="0415000F" w:tentative="1">
      <w:start w:val="1"/>
      <w:numFmt w:val="decimal"/>
      <w:lvlText w:val="%7."/>
      <w:lvlJc w:val="left"/>
      <w:pPr>
        <w:ind w:left="4901" w:hanging="360"/>
      </w:pPr>
    </w:lvl>
    <w:lvl w:ilvl="7" w:tplc="04150019" w:tentative="1">
      <w:start w:val="1"/>
      <w:numFmt w:val="lowerLetter"/>
      <w:lvlText w:val="%8."/>
      <w:lvlJc w:val="left"/>
      <w:pPr>
        <w:ind w:left="5621" w:hanging="360"/>
      </w:pPr>
    </w:lvl>
    <w:lvl w:ilvl="8" w:tplc="0415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8" w15:restartNumberingAfterBreak="0">
    <w:nsid w:val="3E017EC9"/>
    <w:multiLevelType w:val="multilevel"/>
    <w:tmpl w:val="E40423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25A381B"/>
    <w:multiLevelType w:val="hybridMultilevel"/>
    <w:tmpl w:val="90F0C66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90D72"/>
    <w:multiLevelType w:val="hybridMultilevel"/>
    <w:tmpl w:val="304081B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9411D9"/>
    <w:multiLevelType w:val="multilevel"/>
    <w:tmpl w:val="E40423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48412399"/>
    <w:multiLevelType w:val="hybridMultilevel"/>
    <w:tmpl w:val="CB90FE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D1122"/>
    <w:multiLevelType w:val="hybridMultilevel"/>
    <w:tmpl w:val="074EA5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AC5336"/>
    <w:multiLevelType w:val="hybridMultilevel"/>
    <w:tmpl w:val="E9F88F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262F2"/>
    <w:multiLevelType w:val="hybridMultilevel"/>
    <w:tmpl w:val="CB90FE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1512BA"/>
    <w:multiLevelType w:val="hybridMultilevel"/>
    <w:tmpl w:val="419C5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06456"/>
    <w:multiLevelType w:val="hybridMultilevel"/>
    <w:tmpl w:val="9BF490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C2938"/>
    <w:multiLevelType w:val="hybridMultilevel"/>
    <w:tmpl w:val="18EC7F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69390A"/>
    <w:multiLevelType w:val="hybridMultilevel"/>
    <w:tmpl w:val="76B2231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BB50EE"/>
    <w:multiLevelType w:val="hybridMultilevel"/>
    <w:tmpl w:val="248EC4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00145E"/>
    <w:multiLevelType w:val="hybridMultilevel"/>
    <w:tmpl w:val="E9F88F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E43A89"/>
    <w:multiLevelType w:val="hybridMultilevel"/>
    <w:tmpl w:val="B658DD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E6FC2"/>
    <w:multiLevelType w:val="hybridMultilevel"/>
    <w:tmpl w:val="C40805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163B6"/>
    <w:multiLevelType w:val="hybridMultilevel"/>
    <w:tmpl w:val="5AEC7A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D34F6"/>
    <w:multiLevelType w:val="multilevel"/>
    <w:tmpl w:val="E40423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6" w15:restartNumberingAfterBreak="0">
    <w:nsid w:val="7E0F50E5"/>
    <w:multiLevelType w:val="hybridMultilevel"/>
    <w:tmpl w:val="4F18BF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35"/>
  </w:num>
  <w:num w:numId="3">
    <w:abstractNumId w:val="21"/>
  </w:num>
  <w:num w:numId="4">
    <w:abstractNumId w:val="4"/>
  </w:num>
  <w:num w:numId="5">
    <w:abstractNumId w:val="0"/>
  </w:num>
  <w:num w:numId="6">
    <w:abstractNumId w:val="2"/>
  </w:num>
  <w:num w:numId="7">
    <w:abstractNumId w:val="13"/>
  </w:num>
  <w:num w:numId="8">
    <w:abstractNumId w:val="18"/>
  </w:num>
  <w:num w:numId="9">
    <w:abstractNumId w:val="36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9"/>
  </w:num>
  <w:num w:numId="13">
    <w:abstractNumId w:val="11"/>
  </w:num>
  <w:num w:numId="14">
    <w:abstractNumId w:val="26"/>
  </w:num>
  <w:num w:numId="15">
    <w:abstractNumId w:val="30"/>
  </w:num>
  <w:num w:numId="16">
    <w:abstractNumId w:val="34"/>
  </w:num>
  <w:num w:numId="17">
    <w:abstractNumId w:val="28"/>
  </w:num>
  <w:num w:numId="18">
    <w:abstractNumId w:val="20"/>
  </w:num>
  <w:num w:numId="19">
    <w:abstractNumId w:val="17"/>
  </w:num>
  <w:num w:numId="20">
    <w:abstractNumId w:val="14"/>
  </w:num>
  <w:num w:numId="21">
    <w:abstractNumId w:val="9"/>
  </w:num>
  <w:num w:numId="22">
    <w:abstractNumId w:val="8"/>
  </w:num>
  <w:num w:numId="23">
    <w:abstractNumId w:val="19"/>
  </w:num>
  <w:num w:numId="24">
    <w:abstractNumId w:val="12"/>
  </w:num>
  <w:num w:numId="25">
    <w:abstractNumId w:val="33"/>
  </w:num>
  <w:num w:numId="26">
    <w:abstractNumId w:val="10"/>
  </w:num>
  <w:num w:numId="27">
    <w:abstractNumId w:val="22"/>
  </w:num>
  <w:num w:numId="28">
    <w:abstractNumId w:val="5"/>
  </w:num>
  <w:num w:numId="29">
    <w:abstractNumId w:val="25"/>
  </w:num>
  <w:num w:numId="30">
    <w:abstractNumId w:val="6"/>
  </w:num>
  <w:num w:numId="31">
    <w:abstractNumId w:val="1"/>
  </w:num>
  <w:num w:numId="32">
    <w:abstractNumId w:val="7"/>
  </w:num>
  <w:num w:numId="33">
    <w:abstractNumId w:val="27"/>
  </w:num>
  <w:num w:numId="34">
    <w:abstractNumId w:val="31"/>
  </w:num>
  <w:num w:numId="35">
    <w:abstractNumId w:val="32"/>
  </w:num>
  <w:num w:numId="36">
    <w:abstractNumId w:val="3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29F"/>
    <w:rsid w:val="00005655"/>
    <w:rsid w:val="00011CC0"/>
    <w:rsid w:val="000144FE"/>
    <w:rsid w:val="0001497A"/>
    <w:rsid w:val="00020CDE"/>
    <w:rsid w:val="000232D1"/>
    <w:rsid w:val="0002332A"/>
    <w:rsid w:val="00030B8F"/>
    <w:rsid w:val="000315FA"/>
    <w:rsid w:val="00035184"/>
    <w:rsid w:val="000378C1"/>
    <w:rsid w:val="00037C1C"/>
    <w:rsid w:val="00045E90"/>
    <w:rsid w:val="00087B77"/>
    <w:rsid w:val="00096E37"/>
    <w:rsid w:val="00096EAC"/>
    <w:rsid w:val="000B6B70"/>
    <w:rsid w:val="000C465C"/>
    <w:rsid w:val="000D34F6"/>
    <w:rsid w:val="000D5B87"/>
    <w:rsid w:val="000E24E5"/>
    <w:rsid w:val="000E3AAF"/>
    <w:rsid w:val="00106978"/>
    <w:rsid w:val="00120232"/>
    <w:rsid w:val="00132AE8"/>
    <w:rsid w:val="00133B16"/>
    <w:rsid w:val="00164B80"/>
    <w:rsid w:val="00173659"/>
    <w:rsid w:val="001908F1"/>
    <w:rsid w:val="00191010"/>
    <w:rsid w:val="001C2921"/>
    <w:rsid w:val="001D7E8D"/>
    <w:rsid w:val="001E5EF6"/>
    <w:rsid w:val="00211EE4"/>
    <w:rsid w:val="0022705C"/>
    <w:rsid w:val="00227D07"/>
    <w:rsid w:val="00231C79"/>
    <w:rsid w:val="00233E4B"/>
    <w:rsid w:val="00241594"/>
    <w:rsid w:val="00250102"/>
    <w:rsid w:val="00250AE8"/>
    <w:rsid w:val="002563B2"/>
    <w:rsid w:val="00263C0E"/>
    <w:rsid w:val="00270BBD"/>
    <w:rsid w:val="00275F77"/>
    <w:rsid w:val="00284E64"/>
    <w:rsid w:val="0029017C"/>
    <w:rsid w:val="00294B46"/>
    <w:rsid w:val="002A3EA5"/>
    <w:rsid w:val="002B7C0C"/>
    <w:rsid w:val="002F082C"/>
    <w:rsid w:val="002F0D6A"/>
    <w:rsid w:val="002F69DB"/>
    <w:rsid w:val="003066DC"/>
    <w:rsid w:val="00320EBB"/>
    <w:rsid w:val="0032343B"/>
    <w:rsid w:val="003504CE"/>
    <w:rsid w:val="00351BB8"/>
    <w:rsid w:val="0035443A"/>
    <w:rsid w:val="0036325F"/>
    <w:rsid w:val="0037093D"/>
    <w:rsid w:val="0037481A"/>
    <w:rsid w:val="00382196"/>
    <w:rsid w:val="00384B79"/>
    <w:rsid w:val="003959B9"/>
    <w:rsid w:val="003B729F"/>
    <w:rsid w:val="003C7A25"/>
    <w:rsid w:val="003F530A"/>
    <w:rsid w:val="0040103D"/>
    <w:rsid w:val="0041613C"/>
    <w:rsid w:val="00417FC7"/>
    <w:rsid w:val="00432EDB"/>
    <w:rsid w:val="00440454"/>
    <w:rsid w:val="00440932"/>
    <w:rsid w:val="00456342"/>
    <w:rsid w:val="00457EF1"/>
    <w:rsid w:val="00464983"/>
    <w:rsid w:val="004757E2"/>
    <w:rsid w:val="0048317F"/>
    <w:rsid w:val="00485659"/>
    <w:rsid w:val="00486D4C"/>
    <w:rsid w:val="004A1127"/>
    <w:rsid w:val="004A177D"/>
    <w:rsid w:val="004A519F"/>
    <w:rsid w:val="004C11F7"/>
    <w:rsid w:val="004C2197"/>
    <w:rsid w:val="004C595D"/>
    <w:rsid w:val="004E574A"/>
    <w:rsid w:val="004F567A"/>
    <w:rsid w:val="005323EA"/>
    <w:rsid w:val="0054774E"/>
    <w:rsid w:val="0056673A"/>
    <w:rsid w:val="005963ED"/>
    <w:rsid w:val="005A1DBD"/>
    <w:rsid w:val="005A3526"/>
    <w:rsid w:val="005B0367"/>
    <w:rsid w:val="005F0A6E"/>
    <w:rsid w:val="005F4C64"/>
    <w:rsid w:val="005F62A1"/>
    <w:rsid w:val="00602EA3"/>
    <w:rsid w:val="00606EE6"/>
    <w:rsid w:val="006152BD"/>
    <w:rsid w:val="00632659"/>
    <w:rsid w:val="00635440"/>
    <w:rsid w:val="00636544"/>
    <w:rsid w:val="00637328"/>
    <w:rsid w:val="00661823"/>
    <w:rsid w:val="00666B47"/>
    <w:rsid w:val="00685BFB"/>
    <w:rsid w:val="0069755B"/>
    <w:rsid w:val="006A1ACB"/>
    <w:rsid w:val="006B3903"/>
    <w:rsid w:val="006D08EE"/>
    <w:rsid w:val="006E3052"/>
    <w:rsid w:val="006E74B8"/>
    <w:rsid w:val="00725863"/>
    <w:rsid w:val="0073180E"/>
    <w:rsid w:val="007404CD"/>
    <w:rsid w:val="0074128C"/>
    <w:rsid w:val="007417B0"/>
    <w:rsid w:val="00744814"/>
    <w:rsid w:val="00747C18"/>
    <w:rsid w:val="007601FC"/>
    <w:rsid w:val="00761B82"/>
    <w:rsid w:val="00762599"/>
    <w:rsid w:val="0077515F"/>
    <w:rsid w:val="00776908"/>
    <w:rsid w:val="007771B4"/>
    <w:rsid w:val="00780892"/>
    <w:rsid w:val="00783BCE"/>
    <w:rsid w:val="00786B57"/>
    <w:rsid w:val="00794A88"/>
    <w:rsid w:val="007A4608"/>
    <w:rsid w:val="007A502E"/>
    <w:rsid w:val="007B1DB3"/>
    <w:rsid w:val="007B2A93"/>
    <w:rsid w:val="007B5F02"/>
    <w:rsid w:val="007D664D"/>
    <w:rsid w:val="007E5717"/>
    <w:rsid w:val="007E5729"/>
    <w:rsid w:val="007F2445"/>
    <w:rsid w:val="00801580"/>
    <w:rsid w:val="00801947"/>
    <w:rsid w:val="00801E58"/>
    <w:rsid w:val="00811549"/>
    <w:rsid w:val="00811F3C"/>
    <w:rsid w:val="00826763"/>
    <w:rsid w:val="00826BA6"/>
    <w:rsid w:val="00827C44"/>
    <w:rsid w:val="008305B9"/>
    <w:rsid w:val="00832EEF"/>
    <w:rsid w:val="00837088"/>
    <w:rsid w:val="00863779"/>
    <w:rsid w:val="0086631D"/>
    <w:rsid w:val="00867C5D"/>
    <w:rsid w:val="00875B3D"/>
    <w:rsid w:val="00882407"/>
    <w:rsid w:val="00886F78"/>
    <w:rsid w:val="00887418"/>
    <w:rsid w:val="008A376E"/>
    <w:rsid w:val="008B3522"/>
    <w:rsid w:val="008C5DAA"/>
    <w:rsid w:val="008D1105"/>
    <w:rsid w:val="008D2436"/>
    <w:rsid w:val="008D4181"/>
    <w:rsid w:val="008E14D3"/>
    <w:rsid w:val="008F13A9"/>
    <w:rsid w:val="00903EB0"/>
    <w:rsid w:val="00906FD7"/>
    <w:rsid w:val="009107A6"/>
    <w:rsid w:val="00926FED"/>
    <w:rsid w:val="009313C6"/>
    <w:rsid w:val="009515E6"/>
    <w:rsid w:val="009615DE"/>
    <w:rsid w:val="00976D6A"/>
    <w:rsid w:val="00982D72"/>
    <w:rsid w:val="00986E25"/>
    <w:rsid w:val="00993074"/>
    <w:rsid w:val="00997A2F"/>
    <w:rsid w:val="009B65EB"/>
    <w:rsid w:val="00A4120E"/>
    <w:rsid w:val="00A47E13"/>
    <w:rsid w:val="00A5206F"/>
    <w:rsid w:val="00A64C20"/>
    <w:rsid w:val="00A659B2"/>
    <w:rsid w:val="00A6630A"/>
    <w:rsid w:val="00A71F32"/>
    <w:rsid w:val="00A739AE"/>
    <w:rsid w:val="00A76D74"/>
    <w:rsid w:val="00A9124E"/>
    <w:rsid w:val="00AA02E5"/>
    <w:rsid w:val="00AB1FA0"/>
    <w:rsid w:val="00AB561B"/>
    <w:rsid w:val="00AC0D55"/>
    <w:rsid w:val="00AC2008"/>
    <w:rsid w:val="00AD6189"/>
    <w:rsid w:val="00AE7F4B"/>
    <w:rsid w:val="00AF3226"/>
    <w:rsid w:val="00B02212"/>
    <w:rsid w:val="00B07554"/>
    <w:rsid w:val="00B152B9"/>
    <w:rsid w:val="00B24D27"/>
    <w:rsid w:val="00B3497A"/>
    <w:rsid w:val="00B63A95"/>
    <w:rsid w:val="00B65055"/>
    <w:rsid w:val="00B6514F"/>
    <w:rsid w:val="00B8034B"/>
    <w:rsid w:val="00B92E3B"/>
    <w:rsid w:val="00B938CA"/>
    <w:rsid w:val="00BA7471"/>
    <w:rsid w:val="00BB40F7"/>
    <w:rsid w:val="00BB7A9C"/>
    <w:rsid w:val="00BD0A21"/>
    <w:rsid w:val="00BF1883"/>
    <w:rsid w:val="00C00B6D"/>
    <w:rsid w:val="00C00E9E"/>
    <w:rsid w:val="00C17D45"/>
    <w:rsid w:val="00C249C9"/>
    <w:rsid w:val="00C27FF4"/>
    <w:rsid w:val="00C54730"/>
    <w:rsid w:val="00C54AB6"/>
    <w:rsid w:val="00C65E71"/>
    <w:rsid w:val="00C666E4"/>
    <w:rsid w:val="00CA7B18"/>
    <w:rsid w:val="00CF395E"/>
    <w:rsid w:val="00D0078F"/>
    <w:rsid w:val="00D067C1"/>
    <w:rsid w:val="00D11CFE"/>
    <w:rsid w:val="00D208EB"/>
    <w:rsid w:val="00D2225F"/>
    <w:rsid w:val="00D511E0"/>
    <w:rsid w:val="00D57527"/>
    <w:rsid w:val="00D67E67"/>
    <w:rsid w:val="00D76DFD"/>
    <w:rsid w:val="00D84E44"/>
    <w:rsid w:val="00D868D7"/>
    <w:rsid w:val="00DA3320"/>
    <w:rsid w:val="00DE17D9"/>
    <w:rsid w:val="00E00E33"/>
    <w:rsid w:val="00E1122F"/>
    <w:rsid w:val="00E217AF"/>
    <w:rsid w:val="00E303AA"/>
    <w:rsid w:val="00E35AB1"/>
    <w:rsid w:val="00E43979"/>
    <w:rsid w:val="00E43B66"/>
    <w:rsid w:val="00E530D2"/>
    <w:rsid w:val="00E55F34"/>
    <w:rsid w:val="00E62E99"/>
    <w:rsid w:val="00E7023E"/>
    <w:rsid w:val="00E84EC3"/>
    <w:rsid w:val="00E93939"/>
    <w:rsid w:val="00EA3B90"/>
    <w:rsid w:val="00EA3C34"/>
    <w:rsid w:val="00EA45B2"/>
    <w:rsid w:val="00EB5201"/>
    <w:rsid w:val="00EB68B1"/>
    <w:rsid w:val="00EC1FED"/>
    <w:rsid w:val="00EE0927"/>
    <w:rsid w:val="00EE2540"/>
    <w:rsid w:val="00EE4D8D"/>
    <w:rsid w:val="00EF09AB"/>
    <w:rsid w:val="00F03956"/>
    <w:rsid w:val="00F12678"/>
    <w:rsid w:val="00F446AE"/>
    <w:rsid w:val="00F5116A"/>
    <w:rsid w:val="00F57936"/>
    <w:rsid w:val="00F62A7B"/>
    <w:rsid w:val="00F75939"/>
    <w:rsid w:val="00F83044"/>
    <w:rsid w:val="00F8479F"/>
    <w:rsid w:val="00F91C8F"/>
    <w:rsid w:val="00F95F9A"/>
    <w:rsid w:val="00FA260E"/>
    <w:rsid w:val="00FB0A53"/>
    <w:rsid w:val="00FB6BF0"/>
    <w:rsid w:val="00FC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6AEFBEA-A3E4-4693-8BD0-A713361FB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729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7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729F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B72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729F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3B729F"/>
    <w:pPr>
      <w:spacing w:after="0" w:line="240" w:lineRule="auto"/>
      <w:ind w:left="720"/>
    </w:pPr>
  </w:style>
  <w:style w:type="paragraph" w:styleId="Lista">
    <w:name w:val="List"/>
    <w:basedOn w:val="Normalny"/>
    <w:semiHidden/>
    <w:rsid w:val="003B729F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val="en-GB" w:eastAsia="pl-PL"/>
    </w:rPr>
  </w:style>
  <w:style w:type="table" w:styleId="Tabela-Siatka">
    <w:name w:val="Table Grid"/>
    <w:basedOn w:val="Standardowy"/>
    <w:uiPriority w:val="39"/>
    <w:rsid w:val="003B7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07554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66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66E4"/>
    <w:rPr>
      <w:rFonts w:ascii="Segoe UI" w:eastAsia="Calibr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7404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cubiccloud.pl/index.php/s/agjiXQkrkzfnyS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4368</TotalTime>
  <Pages>12</Pages>
  <Words>4917</Words>
  <Characters>29508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piotrgorecki87@gmail.com</dc:creator>
  <cp:keywords/>
  <dc:description/>
  <cp:lastModifiedBy>kszy ksze</cp:lastModifiedBy>
  <cp:revision>27</cp:revision>
  <cp:lastPrinted>2021-04-20T11:30:00Z</cp:lastPrinted>
  <dcterms:created xsi:type="dcterms:W3CDTF">2019-06-04T12:14:00Z</dcterms:created>
  <dcterms:modified xsi:type="dcterms:W3CDTF">2021-04-20T11:30:00Z</dcterms:modified>
</cp:coreProperties>
</file>